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drawing>
          <wp:anchor behindDoc="0" distT="0" distB="0" distL="0" distR="0" simplePos="0" locked="0" layoutInCell="0" allowOverlap="1" relativeHeight="2">
            <wp:simplePos x="0" y="0"/>
            <wp:positionH relativeFrom="column">
              <wp:posOffset>2988310</wp:posOffset>
            </wp:positionH>
            <wp:positionV relativeFrom="paragraph">
              <wp:posOffset>48895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80" t="-81" r="-80" b="-81"/>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MINISTÉRIO DA DEFESA</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EXÉRCITO BRASILEIRO</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4º BATALHÃO DE AVIAÇÃO DO EXÉRCITO</w:t>
      </w:r>
    </w:p>
    <w:p>
      <w:pPr>
        <w:pStyle w:val="Normal"/>
        <w:ind w:left="357"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w:t>
      </w:r>
      <w:r>
        <w:rPr>
          <w:rFonts w:cs="Times New Roman" w:ascii="Times New Roman" w:hAnsi="Times New Roman"/>
          <w:b/>
          <w:i/>
          <w:iCs/>
          <w:sz w:val="22"/>
          <w:szCs w:val="22"/>
          <w:lang w:eastAsia="en-US"/>
        </w:rPr>
        <w:t>ESQUADRÃO CORONEL RICARDO PAVANELLO</w:t>
      </w:r>
      <w:r>
        <w:rPr>
          <w:rFonts w:cs="Times New Roman" w:ascii="Times New Roman" w:hAnsi="Times New Roman"/>
          <w:b/>
          <w:sz w:val="22"/>
          <w:szCs w:val="22"/>
          <w:lang w:eastAsia="en-US"/>
        </w:rPr>
        <w:t>)</w:t>
      </w:r>
    </w:p>
    <w:p>
      <w:pPr>
        <w:pStyle w:val="Normal"/>
        <w:ind w:left="357"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r>
    </w:p>
    <w:p>
      <w:pPr>
        <w:pStyle w:val="Normal"/>
        <w:spacing w:lineRule="auto" w:line="276"/>
        <w:jc w:val="center"/>
        <w:rPr>
          <w:rFonts w:ascii="Times New Roman" w:hAnsi="Times New Roman" w:cs="Times New Roman"/>
        </w:rPr>
      </w:pPr>
      <w:r>
        <w:rPr>
          <w:rFonts w:cs="Times New Roman" w:ascii="Times New Roman" w:hAnsi="Times New Roman"/>
          <w:b/>
          <w:bCs/>
          <w:color w:val="000000" w:themeColor="text1"/>
          <w:szCs w:val="20"/>
        </w:rPr>
        <w:t xml:space="preserve">AVISO DE DISPENSA ELETRÔNICA Nº </w:t>
      </w:r>
      <w:r>
        <w:rPr>
          <w:rFonts w:cs="Times New Roman" w:ascii="Times New Roman" w:hAnsi="Times New Roman"/>
          <w:b/>
          <w:bCs/>
          <w:color w:val="auto"/>
          <w:szCs w:val="20"/>
        </w:rPr>
        <w:t>3</w:t>
      </w:r>
      <w:r>
        <w:rPr>
          <w:rFonts w:cs="Times New Roman" w:ascii="Times New Roman" w:hAnsi="Times New Roman"/>
          <w:b/>
          <w:bCs/>
          <w:color w:val="auto"/>
          <w:szCs w:val="20"/>
        </w:rPr>
        <w:t>5</w:t>
      </w:r>
      <w:r>
        <w:rPr>
          <w:rFonts w:cs="Times New Roman" w:ascii="Times New Roman" w:hAnsi="Times New Roman"/>
          <w:b/>
          <w:bCs/>
          <w:color w:val="000000"/>
          <w:szCs w:val="20"/>
        </w:rPr>
        <w:t>/2023</w:t>
      </w:r>
    </w:p>
    <w:p>
      <w:pPr>
        <w:pStyle w:val="Normal"/>
        <w:spacing w:lineRule="auto" w:line="276" w:before="0" w:after="120"/>
        <w:ind w:right="-15" w:hanging="0"/>
        <w:jc w:val="center"/>
        <w:rPr>
          <w:rFonts w:ascii="Times New Roman" w:hAnsi="Times New Roman" w:cs="Times New Roman"/>
        </w:rPr>
      </w:pPr>
      <w:r>
        <w:rPr>
          <w:rFonts w:cs="Times New Roman" w:ascii="Times New Roman" w:hAnsi="Times New Roman"/>
          <w:b/>
          <w:bCs/>
          <w:color w:val="000000" w:themeColor="text1"/>
          <w:szCs w:val="20"/>
        </w:rPr>
        <w:t xml:space="preserve">Processo Administrativo n° </w:t>
      </w:r>
      <w:r>
        <w:rPr>
          <w:rFonts w:cs="Times New Roman" w:ascii="Times New Roman" w:hAnsi="Times New Roman"/>
          <w:b/>
          <w:bCs/>
          <w:color w:val="auto"/>
          <w:szCs w:val="20"/>
        </w:rPr>
        <w:t>64020.0025</w:t>
      </w:r>
      <w:r>
        <w:rPr>
          <w:rFonts w:cs="Times New Roman" w:ascii="Times New Roman" w:hAnsi="Times New Roman"/>
          <w:b/>
          <w:bCs/>
          <w:color w:val="auto"/>
          <w:szCs w:val="20"/>
        </w:rPr>
        <w:t>83</w:t>
      </w:r>
      <w:r>
        <w:rPr>
          <w:rFonts w:cs="Times New Roman" w:ascii="Times New Roman" w:hAnsi="Times New Roman"/>
          <w:b/>
          <w:bCs/>
          <w:color w:val="auto"/>
          <w:szCs w:val="20"/>
        </w:rPr>
        <w:t>/2023-</w:t>
      </w:r>
      <w:r>
        <w:rPr>
          <w:rFonts w:cs="Times New Roman" w:ascii="Times New Roman" w:hAnsi="Times New Roman"/>
          <w:b/>
          <w:bCs/>
          <w:color w:val="auto"/>
          <w:szCs w:val="20"/>
        </w:rPr>
        <w:t>52</w:t>
      </w:r>
    </w:p>
    <w:p>
      <w:pPr>
        <w:pStyle w:val="Normal"/>
        <w:rPr>
          <w:rFonts w:ascii="Times New Roman" w:hAnsi="Times New Roman" w:cs="Times New Roman"/>
        </w:rPr>
      </w:pPr>
      <w:r>
        <w:rPr>
          <w:rFonts w:cs="Times New Roman" w:ascii="Times New Roman" w:hAnsi="Times New Roman"/>
        </w:rPr>
      </w:r>
    </w:p>
    <w:p>
      <w:pPr>
        <w:pStyle w:val="Normal"/>
        <w:snapToGrid w:val="false"/>
        <w:spacing w:lineRule="auto" w:line="276" w:before="0" w:after="120"/>
        <w:ind w:right="-30" w:firstLine="540"/>
        <w:jc w:val="both"/>
        <w:rPr>
          <w:rFonts w:ascii="Times New Roman" w:hAnsi="Times New Roman" w:cs="Times New Roman"/>
          <w:color w:val="000000"/>
          <w:szCs w:val="20"/>
        </w:rPr>
      </w:pPr>
      <w:r>
        <w:rPr>
          <w:rFonts w:cs="Times New Roman" w:ascii="Times New Roman" w:hAnsi="Times New Roman"/>
          <w:color w:val="000000" w:themeColor="text1"/>
          <w:szCs w:val="20"/>
        </w:rPr>
        <w:t xml:space="preserve">Torna-se público que o (a) </w:t>
      </w:r>
      <w:r>
        <w:rPr>
          <w:rFonts w:eastAsia="Arial" w:cs="Times New Roman" w:ascii="Times New Roman" w:hAnsi="Times New Roman"/>
          <w:color w:val="000000" w:themeColor="text1"/>
          <w:szCs w:val="20"/>
        </w:rPr>
        <w:t>4° BATALHÃO DE AVIAÇÃO DO EXÉRCITO - 4° BAvEx</w:t>
      </w:r>
      <w:r>
        <w:rPr>
          <w:rFonts w:cs="Times New Roman" w:ascii="Times New Roman" w:hAnsi="Times New Roman"/>
          <w:color w:val="000000" w:themeColor="text1"/>
          <w:szCs w:val="20"/>
        </w:rPr>
        <w:t xml:space="preserve">, por meio do(a) </w:t>
      </w:r>
      <w:r>
        <w:rPr>
          <w:rFonts w:eastAsia="Arial" w:cs="Times New Roman" w:ascii="Times New Roman" w:hAnsi="Times New Roman"/>
          <w:color w:val="000000" w:themeColor="text1"/>
          <w:szCs w:val="20"/>
        </w:rPr>
        <w:t>Seção de Aquisições, Licitações e Contratos</w:t>
      </w:r>
      <w:r>
        <w:rPr>
          <w:rFonts w:cs="Times New Roman" w:ascii="Times New Roman" w:hAnsi="Times New Roman"/>
          <w:color w:val="000000" w:themeColor="text1"/>
          <w:szCs w:val="20"/>
        </w:rPr>
        <w:t xml:space="preserve">, realizará Dispensa Eletrônica, </w:t>
      </w:r>
      <w:r>
        <w:rPr>
          <w:rFonts w:cs="Times New Roman" w:ascii="Times New Roman" w:hAnsi="Times New Roman"/>
          <w:bCs/>
          <w:color w:val="000000" w:themeColor="text1"/>
          <w:szCs w:val="20"/>
        </w:rPr>
        <w:t xml:space="preserve">com critério de julgamento </w:t>
      </w:r>
      <w:r>
        <w:rPr>
          <w:rFonts w:cs="Times New Roman" w:ascii="Times New Roman" w:hAnsi="Times New Roman"/>
          <w:b/>
          <w:color w:val="000000" w:themeColor="text1"/>
          <w:szCs w:val="20"/>
        </w:rPr>
        <w:t>menor preço</w:t>
      </w:r>
      <w:r>
        <w:rPr>
          <w:rFonts w:cs="Times New Roman" w:ascii="Times New Roman" w:hAnsi="Times New Roman"/>
          <w:b/>
          <w:bCs/>
          <w:color w:val="000000" w:themeColor="text1"/>
          <w:szCs w:val="20"/>
        </w:rPr>
        <w:t xml:space="preserve">, </w:t>
      </w:r>
      <w:r>
        <w:rPr>
          <w:rFonts w:cs="Times New Roman" w:ascii="Times New Roman" w:hAnsi="Times New Roman"/>
          <w:color w:val="000000" w:themeColor="text1"/>
          <w:szCs w:val="20"/>
        </w:rPr>
        <w:t>na hipótese do art. 75</w:t>
      </w:r>
      <w:r>
        <w:rPr>
          <w:rFonts w:cs="Times New Roman" w:ascii="Times New Roman" w:hAnsi="Times New Roman"/>
          <w:i/>
          <w:iCs/>
          <w:color w:val="000000" w:themeColor="text1"/>
          <w:szCs w:val="20"/>
        </w:rPr>
        <w:t xml:space="preserve">, </w:t>
      </w:r>
      <w:r>
        <w:rPr>
          <w:rFonts w:cs="Times New Roman" w:ascii="Times New Roman" w:hAnsi="Times New Roman"/>
          <w:b/>
          <w:iCs/>
          <w:color w:val="000000" w:themeColor="text1"/>
          <w:szCs w:val="20"/>
        </w:rPr>
        <w:t>inciso  II</w:t>
      </w:r>
      <w:r>
        <w:rPr>
          <w:rFonts w:cs="Times New Roman" w:ascii="Times New Roman" w:hAnsi="Times New Roman"/>
          <w:i/>
          <w:iCs/>
          <w:color w:val="000000" w:themeColor="text1"/>
          <w:szCs w:val="20"/>
        </w:rPr>
        <w:t xml:space="preserve">, </w:t>
      </w:r>
      <w:r>
        <w:rPr>
          <w:rFonts w:cs="Times New Roman" w:ascii="Times New Roman" w:hAnsi="Times New Roman"/>
          <w:bCs/>
          <w:szCs w:val="20"/>
        </w:rPr>
        <w:t>nos termos da Lei nº 14.133, de 1º de abril de 2021, da Instrução Normativa SEGES/ME nº 67/2021 e demais legislação aplicável</w:t>
      </w:r>
      <w:r>
        <w:rPr>
          <w:rFonts w:cs="Times New Roman" w:ascii="Times New Roman" w:hAnsi="Times New Roman"/>
          <w:color w:val="000000"/>
          <w:szCs w:val="20"/>
        </w:rPr>
        <w:t>.</w:t>
      </w:r>
    </w:p>
    <w:p>
      <w:pPr>
        <w:pStyle w:val="Normal"/>
        <w:spacing w:lineRule="auto" w:line="276"/>
        <w:jc w:val="both"/>
        <w:rPr>
          <w:rFonts w:ascii="Times New Roman" w:hAnsi="Times New Roman" w:cs="Times New Roman"/>
        </w:rPr>
      </w:pPr>
      <w:r>
        <w:rPr>
          <w:rFonts w:cs="Times New Roman" w:ascii="Times New Roman" w:hAnsi="Times New Roman"/>
          <w:color w:val="000000" w:themeColor="text1"/>
          <w:szCs w:val="20"/>
        </w:rPr>
        <w:t>Data da sessão: 13</w:t>
      </w:r>
      <w:r>
        <w:rPr>
          <w:rFonts w:cs="Times New Roman" w:ascii="Times New Roman" w:hAnsi="Times New Roman"/>
          <w:color w:val="auto"/>
          <w:szCs w:val="20"/>
        </w:rPr>
        <w:t>/06/2023</w:t>
      </w:r>
    </w:p>
    <w:p>
      <w:pPr>
        <w:pStyle w:val="Normal"/>
        <w:rPr>
          <w:rFonts w:ascii="Times New Roman" w:hAnsi="Times New Roman" w:cs="Times New Roman"/>
          <w:color w:val="000000" w:themeColor="text1"/>
          <w:szCs w:val="20"/>
        </w:rPr>
      </w:pPr>
      <w:r>
        <w:rPr>
          <w:rFonts w:cs="Times New Roman" w:ascii="Times New Roman" w:hAnsi="Times New Roman"/>
          <w:color w:val="000000" w:themeColor="text1"/>
          <w:szCs w:val="20"/>
        </w:rPr>
        <w:t>Link: www.comprasgovernamentais.gov.br</w:t>
      </w:r>
    </w:p>
    <w:p>
      <w:pPr>
        <w:pStyle w:val="Normal"/>
        <w:rPr>
          <w:rFonts w:ascii="Times New Roman" w:hAnsi="Times New Roman" w:cs="Times New Roman"/>
          <w:color w:val="000000" w:themeColor="text1"/>
          <w:szCs w:val="20"/>
        </w:rPr>
      </w:pPr>
      <w:r>
        <w:rPr>
          <w:rFonts w:cs="Times New Roman" w:ascii="Times New Roman" w:hAnsi="Times New Roman"/>
          <w:color w:val="000000" w:themeColor="text1"/>
          <w:szCs w:val="20"/>
        </w:rPr>
        <w:t>Horário da Fase de Lances: 8:00 (horário de Brasília)</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rPr>
        <w:t>OBJETO DA CONTRATAÇÃO DIRETA</w:t>
      </w:r>
    </w:p>
    <w:p>
      <w:pPr>
        <w:pStyle w:val="PADRO"/>
        <w:widowControl/>
        <w:numPr>
          <w:ilvl w:val="1"/>
          <w:numId w:val="1"/>
        </w:numPr>
        <w:shd w:val="clear" w:color="auto" w:fill="auto"/>
        <w:spacing w:before="120" w:after="120"/>
        <w:rPr>
          <w:rFonts w:ascii="Times New Roman" w:hAnsi="Times New Roman" w:cs="Times New Roman"/>
        </w:rPr>
      </w:pPr>
      <w:r>
        <w:rPr>
          <w:rFonts w:cs="Times New Roman" w:ascii="Times New Roman" w:hAnsi="Times New Roman"/>
          <w:iCs/>
          <w:color w:val="000000" w:themeColor="text1"/>
          <w:szCs w:val="20"/>
        </w:rPr>
        <w:t xml:space="preserve">A aquisição ocorrerá em </w:t>
      </w:r>
      <w:r>
        <w:rPr>
          <w:rFonts w:cs="Times New Roman" w:ascii="Times New Roman" w:hAnsi="Times New Roman"/>
          <w:b/>
          <w:bCs/>
          <w:iCs/>
          <w:color w:val="auto"/>
          <w:szCs w:val="20"/>
        </w:rPr>
        <w:t>ite</w:t>
      </w:r>
      <w:r>
        <w:rPr>
          <w:rFonts w:cs="Times New Roman" w:ascii="Times New Roman" w:hAnsi="Times New Roman"/>
          <w:b/>
          <w:bCs/>
          <w:iCs/>
          <w:color w:val="auto"/>
          <w:szCs w:val="20"/>
        </w:rPr>
        <w:t>m</w:t>
      </w:r>
      <w:r>
        <w:rPr>
          <w:rFonts w:cs="Times New Roman" w:ascii="Times New Roman" w:hAnsi="Times New Roman"/>
          <w:b/>
          <w:bCs/>
          <w:iCs/>
          <w:color w:val="auto"/>
          <w:szCs w:val="20"/>
        </w:rPr>
        <w:t xml:space="preserve"> </w:t>
      </w:r>
      <w:r>
        <w:rPr>
          <w:rFonts w:eastAsia="WenQuanYi Micro Hei" w:cs="Times New Roman" w:ascii="Times New Roman" w:hAnsi="Times New Roman"/>
          <w:b/>
          <w:bCs/>
          <w:iCs/>
          <w:color w:val="auto"/>
          <w:kern w:val="0"/>
          <w:sz w:val="20"/>
          <w:szCs w:val="20"/>
          <w:lang w:val="pt-BR" w:eastAsia="zh-CN" w:bidi="hi-IN"/>
        </w:rPr>
        <w:t>ú</w:t>
      </w:r>
      <w:r>
        <w:rPr>
          <w:rFonts w:eastAsia="WenQuanYi Micro Hei" w:cs="Times New Roman" w:ascii="Times New Roman" w:hAnsi="Times New Roman"/>
          <w:b/>
          <w:bCs/>
          <w:iCs/>
          <w:color w:val="auto"/>
          <w:kern w:val="0"/>
          <w:sz w:val="20"/>
          <w:szCs w:val="20"/>
          <w:lang w:val="pt-BR" w:eastAsia="zh-CN" w:bidi="hi-IN"/>
        </w:rPr>
        <w:t>nico</w:t>
      </w:r>
      <w:r>
        <w:rPr>
          <w:rFonts w:cs="Times New Roman" w:ascii="Times New Roman" w:hAnsi="Times New Roman"/>
          <w:iCs/>
          <w:color w:val="000000" w:themeColor="text1"/>
          <w:szCs w:val="20"/>
        </w:rPr>
        <w:t>, conforme tabela constante abaixo</w:t>
      </w:r>
      <w:r>
        <w:rPr>
          <w:rFonts w:cs="Times New Roman" w:ascii="Times New Roman" w:hAnsi="Times New Roman"/>
          <w:i/>
          <w:iCs/>
          <w:color w:val="FF0000"/>
          <w:szCs w:val="20"/>
        </w:rPr>
        <w:t>.</w:t>
      </w:r>
    </w:p>
    <w:tbl>
      <w:tblPr>
        <w:tblW w:w="10158" w:type="dxa"/>
        <w:jc w:val="center"/>
        <w:tblInd w:w="0" w:type="dxa"/>
        <w:tblLayout w:type="fixed"/>
        <w:tblCellMar>
          <w:top w:w="0" w:type="dxa"/>
          <w:left w:w="98" w:type="dxa"/>
          <w:bottom w:w="0" w:type="dxa"/>
          <w:right w:w="108" w:type="dxa"/>
        </w:tblCellMar>
        <w:tblLook w:val="0000" w:noHBand="0" w:noVBand="0" w:firstColumn="0" w:lastRow="0" w:lastColumn="0" w:firstRow="0"/>
      </w:tblPr>
      <w:tblGrid>
        <w:gridCol w:w="675"/>
        <w:gridCol w:w="4097"/>
        <w:gridCol w:w="1277"/>
        <w:gridCol w:w="850"/>
        <w:gridCol w:w="1699"/>
        <w:gridCol w:w="1559"/>
      </w:tblGrid>
      <w:tr>
        <w:trPr>
          <w:trHeight w:val="1064" w:hRule="atLeast"/>
        </w:trPr>
        <w:tc>
          <w:tcPr>
            <w:tcW w:w="675"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Item</w:t>
            </w:r>
          </w:p>
        </w:tc>
        <w:tc>
          <w:tcPr>
            <w:tcW w:w="4097"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Descrição detalhada</w:t>
            </w:r>
          </w:p>
        </w:tc>
        <w:tc>
          <w:tcPr>
            <w:tcW w:w="1277"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Unidade</w:t>
            </w:r>
          </w:p>
        </w:tc>
        <w:tc>
          <w:tcPr>
            <w:tcW w:w="850"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Qtd</w:t>
            </w:r>
          </w:p>
        </w:tc>
        <w:tc>
          <w:tcPr>
            <w:tcW w:w="1699"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Preço unitário de referência</w:t>
            </w:r>
          </w:p>
        </w:tc>
        <w:tc>
          <w:tcPr>
            <w:tcW w:w="1559" w:type="dxa"/>
            <w:tcBorders>
              <w:top w:val="single" w:sz="4" w:space="0" w:color="000001"/>
              <w:left w:val="single" w:sz="4" w:space="0" w:color="000001"/>
              <w:bottom w:val="single" w:sz="4" w:space="0" w:color="000001"/>
              <w:right w:val="single" w:sz="4" w:space="0" w:color="000001"/>
            </w:tcBorders>
            <w:shd w:color="auto" w:fill="F2F2F2" w:val="clear"/>
            <w:tcMar>
              <w:left w:w="0" w:type="dxa"/>
              <w:right w:w="10" w:type="dxa"/>
            </w:tcMar>
            <w:vAlign w:val="center"/>
          </w:tcPr>
          <w:p>
            <w:pPr>
              <w:pStyle w:val="Standard"/>
              <w:widowControl w:val="false"/>
              <w:jc w:val="center"/>
              <w:rPr>
                <w:rFonts w:ascii="Times New Roman" w:hAnsi="Times New Roman" w:cs="Times New Roman"/>
                <w:b/>
                <w:b/>
              </w:rPr>
            </w:pPr>
            <w:r>
              <w:rPr>
                <w:rFonts w:cs="Times New Roman" w:ascii="Times New Roman" w:hAnsi="Times New Roman"/>
                <w:b/>
              </w:rPr>
              <w:t>Preço total</w:t>
            </w:r>
          </w:p>
          <w:p>
            <w:pPr>
              <w:pStyle w:val="Standard"/>
              <w:widowControl w:val="false"/>
              <w:jc w:val="center"/>
              <w:rPr>
                <w:rFonts w:ascii="Times New Roman" w:hAnsi="Times New Roman" w:cs="Times New Roman"/>
                <w:b/>
                <w:b/>
              </w:rPr>
            </w:pPr>
            <w:r>
              <w:rPr>
                <w:rFonts w:cs="Times New Roman" w:ascii="Times New Roman" w:hAnsi="Times New Roman"/>
                <w:b/>
              </w:rPr>
              <w:t>de referência</w:t>
            </w:r>
          </w:p>
        </w:tc>
      </w:tr>
      <w:tr>
        <w:trPr/>
        <w:tc>
          <w:tcPr>
            <w:tcW w:w="67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1</w:t>
            </w:r>
          </w:p>
        </w:tc>
        <w:tc>
          <w:tcPr>
            <w:tcW w:w="4097" w:type="dxa"/>
            <w:tcBorders>
              <w:top w:val="single" w:sz="4" w:space="0" w:color="000001"/>
              <w:left w:val="single" w:sz="4" w:space="0" w:color="000001"/>
              <w:bottom w:val="single" w:sz="4" w:space="0" w:color="000001"/>
              <w:right w:val="single" w:sz="4" w:space="0" w:color="000001"/>
            </w:tcBorders>
            <w:shd w:color="auto" w:fill="auto" w:val="clear"/>
            <w:vAlign w:val="bottom"/>
          </w:tcPr>
          <w:p>
            <w:pPr>
              <w:pStyle w:val="Normal"/>
              <w:widowControl w:val="false"/>
              <w:jc w:val="both"/>
              <w:rPr>
                <w:rFonts w:ascii="Times New Roman" w:hAnsi="Times New Roman" w:cs="Times New Roman"/>
                <w:highlight w:val="white"/>
              </w:rPr>
            </w:pPr>
            <w:r>
              <w:rPr>
                <w:rFonts w:cs="Times New Roman" w:ascii="Times New Roman" w:hAnsi="Times New Roman"/>
                <w:highlight w:val="white"/>
              </w:rPr>
            </w:r>
          </w:p>
          <w:p>
            <w:pPr>
              <w:pStyle w:val="Normal"/>
              <w:widowControl w:val="false"/>
              <w:jc w:val="both"/>
              <w:rPr>
                <w:rFonts w:ascii="Times New Roman" w:hAnsi="Times New Roman" w:cs="Times New Roman"/>
              </w:rPr>
            </w:pPr>
            <w:r>
              <w:rPr>
                <w:rFonts w:eastAsia="Times New Roman" w:cs="Times New Roman" w:ascii="Times New Roman" w:hAnsi="Times New Roman"/>
                <w:color w:val="00000A"/>
                <w:kern w:val="0"/>
                <w:sz w:val="20"/>
                <w:szCs w:val="24"/>
                <w:lang w:val="pt-BR" w:eastAsia="pt-BR" w:bidi="ar-SA"/>
              </w:rPr>
              <w:t>Frigobar, capacidade: 120L, tensão alimentação: 110/220 v, características adicionais: prateleiras removíveis/gavetas/etiqueta A.</w:t>
            </w:r>
          </w:p>
          <w:p>
            <w:pPr>
              <w:pStyle w:val="Normal"/>
              <w:widowControl w:val="false"/>
              <w:jc w:val="both"/>
              <w:rPr>
                <w:rFonts w:ascii="Times New Roman" w:hAnsi="Times New Roman" w:cs="Times New Roman"/>
              </w:rPr>
            </w:pPr>
            <w:r>
              <w:rPr>
                <w:rFonts w:cs="Times New Roman" w:ascii="Times New Roman" w:hAnsi="Times New Roman"/>
              </w:rPr>
            </w:r>
          </w:p>
        </w:tc>
        <w:tc>
          <w:tcPr>
            <w:tcW w:w="127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Und</w:t>
            </w:r>
          </w:p>
        </w:tc>
        <w:tc>
          <w:tcPr>
            <w:tcW w:w="85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1</w:t>
            </w:r>
          </w:p>
        </w:tc>
        <w:tc>
          <w:tcPr>
            <w:tcW w:w="1699" w:type="dxa"/>
            <w:tcBorders>
              <w:top w:val="single" w:sz="4" w:space="0" w:color="000001"/>
              <w:left w:val="single" w:sz="4" w:space="0" w:color="000001"/>
              <w:bottom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00000A"/>
                <w:kern w:val="0"/>
                <w:sz w:val="22"/>
                <w:szCs w:val="22"/>
                <w:lang w:val="pt-BR" w:eastAsia="en-US" w:bidi="ar-SA"/>
              </w:rPr>
            </w:pPr>
            <w:r>
              <w:rPr>
                <w:rFonts w:eastAsia="Times New Roman" w:cs="Times New Roman" w:ascii="Times New Roman" w:hAnsi="Times New Roman"/>
                <w:color w:val="00000A"/>
                <w:kern w:val="0"/>
                <w:sz w:val="22"/>
                <w:szCs w:val="22"/>
                <w:lang w:val="pt-BR" w:eastAsia="en-US" w:bidi="ar-SA"/>
              </w:rPr>
              <w:t xml:space="preserve">R$ </w:t>
            </w:r>
            <w:r>
              <w:rPr>
                <w:rFonts w:eastAsia="Times New Roman" w:cs="Times New Roman" w:ascii="Times New Roman" w:hAnsi="Times New Roman"/>
                <w:color w:val="00000A"/>
                <w:kern w:val="0"/>
                <w:sz w:val="22"/>
                <w:szCs w:val="22"/>
                <w:lang w:val="pt-BR" w:eastAsia="en-US" w:bidi="ar-SA"/>
              </w:rPr>
              <w:t>1.011,94</w:t>
            </w:r>
          </w:p>
        </w:tc>
        <w:tc>
          <w:tcPr>
            <w:tcW w:w="1559" w:type="dxa"/>
            <w:tcBorders>
              <w:top w:val="single" w:sz="4" w:space="0" w:color="000001"/>
              <w:left w:val="single" w:sz="4" w:space="0" w:color="000001"/>
              <w:bottom w:val="single" w:sz="4" w:space="0" w:color="000001"/>
              <w:right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00000A"/>
                <w:kern w:val="0"/>
                <w:sz w:val="22"/>
                <w:szCs w:val="22"/>
                <w:lang w:val="pt-BR" w:eastAsia="en-US" w:bidi="ar-SA"/>
              </w:rPr>
            </w:pPr>
            <w:r>
              <w:rPr>
                <w:rFonts w:eastAsia="Times New Roman" w:cs="Times New Roman" w:ascii="Times New Roman" w:hAnsi="Times New Roman"/>
                <w:color w:val="00000A"/>
                <w:kern w:val="0"/>
                <w:sz w:val="22"/>
                <w:szCs w:val="22"/>
                <w:lang w:val="pt-BR" w:eastAsia="en-US" w:bidi="ar-SA"/>
              </w:rPr>
              <w:t xml:space="preserve">R$ </w:t>
            </w:r>
            <w:r>
              <w:rPr>
                <w:rFonts w:eastAsia="Times New Roman" w:cs="Times New Roman" w:ascii="Times New Roman" w:hAnsi="Times New Roman"/>
                <w:color w:val="00000A"/>
                <w:kern w:val="0"/>
                <w:sz w:val="22"/>
                <w:szCs w:val="22"/>
                <w:lang w:val="pt-BR" w:eastAsia="en-US" w:bidi="ar-SA"/>
              </w:rPr>
              <w:t>1.011,94</w:t>
            </w:r>
          </w:p>
        </w:tc>
      </w:tr>
    </w:tbl>
    <w:p>
      <w:pPr>
        <w:pStyle w:val="PADRO"/>
        <w:widowControl/>
        <w:numPr>
          <w:ilvl w:val="1"/>
          <w:numId w:val="1"/>
        </w:numPr>
        <w:shd w:val="clear" w:color="auto" w:fill="auto"/>
        <w:spacing w:before="120" w:after="120"/>
        <w:rPr>
          <w:rFonts w:ascii="Times New Roman" w:hAnsi="Times New Roman" w:cs="Times New Roman"/>
          <w:color w:val="000000" w:themeColor="text1"/>
          <w:szCs w:val="20"/>
        </w:rPr>
      </w:pPr>
      <w:r>
        <w:rPr>
          <w:rFonts w:cs="Times New Roman" w:ascii="Times New Roman" w:hAnsi="Times New Roman"/>
          <w:color w:val="000000"/>
          <w:szCs w:val="20"/>
        </w:rPr>
        <w:t xml:space="preserve">O critério de julgamento adotado será o </w:t>
      </w:r>
      <w:r>
        <w:rPr>
          <w:rFonts w:cs="Times New Roman" w:ascii="Times New Roman" w:hAnsi="Times New Roman"/>
          <w:iCs/>
          <w:color w:val="000000" w:themeColor="text1"/>
          <w:szCs w:val="20"/>
        </w:rPr>
        <w:t xml:space="preserve">menor preço, </w:t>
      </w:r>
      <w:r>
        <w:rPr>
          <w:rFonts w:cs="Times New Roman" w:ascii="Times New Roman" w:hAnsi="Times New Roman"/>
          <w:color w:val="000000"/>
          <w:szCs w:val="20"/>
        </w:rPr>
        <w:t>observadas as exigências contidas neste Aviso de Contratação Direta e seus Anexos quanto às especificações do objeto.</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PARTICIPAÇÃO NA DISPENSA ELETRÔNICA.</w:t>
      </w:r>
    </w:p>
    <w:p>
      <w:pPr>
        <w:pStyle w:val="Normal"/>
        <w:snapToGrid w:val="false"/>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 xml:space="preserve">2.1. A participação na presente dispensa eletrônica se dará mediante </w:t>
      </w:r>
      <w:r>
        <w:rPr>
          <w:rFonts w:cs="Times New Roman" w:ascii="Times New Roman" w:hAnsi="Times New Roman"/>
          <w:bCs/>
          <w:color w:val="000000"/>
          <w:szCs w:val="20"/>
        </w:rPr>
        <w:t xml:space="preserve">Sistema de Dispensa Eletrônica </w:t>
      </w:r>
      <w:r>
        <w:rPr>
          <w:rFonts w:cs="Times New Roman" w:ascii="Times New Roman" w:hAnsi="Times New Roman"/>
          <w:color w:val="000000"/>
          <w:szCs w:val="20"/>
        </w:rPr>
        <w:t xml:space="preserve">integrante do Sistema de Compras do Governo Federal – Comprasnet 4.0, disponível no </w:t>
      </w:r>
      <w:r>
        <w:rPr>
          <w:rFonts w:cs="Times New Roman" w:ascii="Times New Roman" w:hAnsi="Times New Roman"/>
          <w:bCs/>
          <w:color w:val="000000"/>
          <w:szCs w:val="20"/>
        </w:rPr>
        <w:t xml:space="preserve">endereço eletrônico do </w:t>
      </w:r>
      <w:r>
        <w:rPr>
          <w:rFonts w:cs="Times New Roman" w:ascii="Times New Roman" w:hAnsi="Times New Roman"/>
          <w:color w:val="000000"/>
        </w:rPr>
        <w:t>Portal Nacional de Contratações Públicas – PNCP.</w:t>
      </w:r>
    </w:p>
    <w:p>
      <w:pPr>
        <w:pStyle w:val="Normal"/>
        <w:numPr>
          <w:ilvl w:val="2"/>
          <w:numId w:val="1"/>
        </w:numPr>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Não poderão participar desta dispensa os fornecedores: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se enquadrem nas seguintes vedações:</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empresas controladoras, controladas ou coligadas, nos termos da </w:t>
      </w:r>
      <w:hyperlink r:id="rId3">
        <w:r>
          <w:rPr>
            <w:rStyle w:val="LinkdaInternet"/>
            <w:rFonts w:eastAsia="Calibri" w:cs="Times New Roman" w:ascii="Times New Roman" w:hAnsi="Times New Roman"/>
            <w:color w:val="000000"/>
            <w:szCs w:val="20"/>
          </w:rPr>
          <w:t>Lei nº 6.404, de 15 de dezembro de 1976</w:t>
        </w:r>
      </w:hyperlink>
      <w:r>
        <w:rPr>
          <w:rFonts w:cs="Times New Roman" w:ascii="Times New Roman" w:hAnsi="Times New Roman"/>
          <w:color w:val="000000"/>
          <w:szCs w:val="20"/>
        </w:rPr>
        <w:t>, concorrendo entre si;</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Equiparam-se aos autores do projeto as empresas integrantes do mesmo grupo econômico;</w:t>
      </w:r>
    </w:p>
    <w:p>
      <w:pPr>
        <w:pStyle w:val="Normal"/>
        <w:numPr>
          <w:ilvl w:val="3"/>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sociedades cooperativas</w:t>
      </w:r>
      <w:bookmarkStart w:id="0" w:name="_Hlk519667815"/>
      <w:bookmarkEnd w:id="0"/>
      <w:r>
        <w:rPr>
          <w:rFonts w:cs="Times New Roman" w:ascii="Times New Roman" w:hAnsi="Times New Roman"/>
          <w:i/>
          <w:color w:val="000000" w:themeColor="text1"/>
          <w:szCs w:val="20"/>
        </w:rPr>
        <w:t>.</w:t>
      </w:r>
    </w:p>
    <w:p>
      <w:pPr>
        <w:pStyle w:val="Normal"/>
        <w:spacing w:lineRule="auto" w:line="276" w:before="120" w:after="120"/>
        <w:ind w:left="1224" w:hanging="0"/>
        <w:jc w:val="both"/>
        <w:rPr>
          <w:rFonts w:ascii="Times New Roman" w:hAnsi="Times New Roman" w:cs="Times New Roman"/>
          <w:i/>
          <w:i/>
          <w:color w:val="000000" w:themeColor="text1"/>
          <w:szCs w:val="20"/>
        </w:rPr>
      </w:pPr>
      <w:r>
        <w:rPr>
          <w:rFonts w:cs="Times New Roman" w:ascii="Times New Roman" w:hAnsi="Times New Roman"/>
          <w:i/>
          <w:color w:val="000000" w:themeColor="text1"/>
          <w:szCs w:val="20"/>
        </w:rPr>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INGRESSO NA DISPENSA ELETRÔNICA E CADASTRAMENTO DA PROPOSTA INICIAL</w:t>
      </w:r>
    </w:p>
    <w:p>
      <w:pPr>
        <w:pStyle w:val="Normal"/>
        <w:numPr>
          <w:ilvl w:val="1"/>
          <w:numId w:val="1"/>
        </w:numPr>
        <w:snapToGrid w:val="false"/>
        <w:spacing w:lineRule="auto" w:line="276" w:before="120" w:after="120"/>
        <w:ind w:left="425" w:hanging="0"/>
        <w:jc w:val="both"/>
        <w:rPr>
          <w:rFonts w:ascii="Times New Roman" w:hAnsi="Times New Roman" w:cs="Times New Roman"/>
        </w:rPr>
      </w:pPr>
      <w:r>
        <w:rPr>
          <w:rFonts w:cs="Times New Roman" w:ascii="Times New Roman" w:hAnsi="Times New Roman"/>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 xml:space="preserve">Todas as especificações do </w:t>
      </w:r>
      <w:r>
        <w:rPr>
          <w:rFonts w:cs="Times New Roman" w:ascii="Times New Roman" w:hAnsi="Times New Roman"/>
          <w:color w:val="000000" w:themeColor="text1"/>
          <w:szCs w:val="20"/>
        </w:rPr>
        <w:t>objeto</w:t>
      </w:r>
      <w:r>
        <w:rPr>
          <w:rFonts w:cs="Times New Roman" w:ascii="Times New Roman" w:hAnsi="Times New Roman"/>
          <w:color w:val="000000"/>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 xml:space="preserve">A apresentação das propostas implica obrigatoriedade do cumprimento das disposições nelas contidas, em conformidade com o que dispõe o </w:t>
      </w:r>
      <w:r>
        <w:rPr>
          <w:rFonts w:cs="Times New Roman" w:ascii="Times New Roman" w:hAnsi="Times New Roman"/>
          <w:b/>
          <w:color w:val="000000" w:themeColor="text1"/>
          <w:szCs w:val="20"/>
        </w:rPr>
        <w:t>Termo de Referência</w:t>
      </w:r>
      <w:r>
        <w:rPr>
          <w:rFonts w:cs="Times New Roman" w:ascii="Times New Roman" w:hAnsi="Times New Roman"/>
          <w:i/>
          <w:color w:val="000000" w:themeColor="text1"/>
          <w:szCs w:val="20"/>
        </w:rPr>
        <w:t xml:space="preserve">, </w:t>
      </w:r>
      <w:r>
        <w:rPr>
          <w:rFonts w:cs="Times New Roman" w:ascii="Times New Roman" w:hAnsi="Times New Roman"/>
          <w:color w:val="000000"/>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ascii="Times New Roman" w:hAnsi="Times New Roman" w:cs="Times New Roman"/>
          <w:color w:val="000000" w:themeColor="text1"/>
          <w:szCs w:val="20"/>
        </w:rPr>
      </w:pPr>
      <w:r>
        <w:rPr>
          <w:rFonts w:cs="Times New Roman" w:ascii="Times New Roman" w:hAnsi="Times New Roman"/>
          <w:color w:val="000000"/>
          <w:szCs w:val="20"/>
        </w:rPr>
        <w:t xml:space="preserve">Uma vez enviada a proposta no sistema, os fornecedores </w:t>
      </w:r>
      <w:r>
        <w:rPr>
          <w:rFonts w:cs="Times New Roman" w:ascii="Times New Roman" w:hAnsi="Times New Roman"/>
          <w:b/>
          <w:bCs/>
          <w:color w:val="000000"/>
          <w:szCs w:val="20"/>
        </w:rPr>
        <w:t xml:space="preserve">NÃO </w:t>
      </w:r>
      <w:r>
        <w:rPr>
          <w:rFonts w:cs="Times New Roman" w:ascii="Times New Roman" w:hAnsi="Times New Roman"/>
          <w:color w:val="000000"/>
          <w:szCs w:val="20"/>
        </w:rPr>
        <w:t>poderão retirá-la, substituí-la ou modificá-la;</w:t>
      </w:r>
    </w:p>
    <w:p>
      <w:pPr>
        <w:pStyle w:val="Normal"/>
        <w:numPr>
          <w:ilvl w:val="1"/>
          <w:numId w:val="1"/>
        </w:numPr>
        <w:spacing w:lineRule="auto" w:line="276" w:before="120" w:after="120"/>
        <w:ind w:left="425" w:hanging="0"/>
        <w:jc w:val="both"/>
        <w:rPr>
          <w:rFonts w:ascii="Times New Roman" w:hAnsi="Times New Roman" w:cs="Times New Roman"/>
          <w:color w:val="000000" w:themeColor="text1"/>
          <w:szCs w:val="20"/>
        </w:rPr>
      </w:pPr>
      <w:r>
        <w:rPr>
          <w:rFonts w:cs="Times New Roman" w:ascii="Times New Roman" w:hAnsi="Times New Roman"/>
          <w:color w:val="000000"/>
          <w:szCs w:val="20"/>
        </w:rPr>
        <w:t>No cadastramento da proposta inicial, o fornecedor deverá, também, assinalar “sim” ou “não” em campo próprio do sistema eletrônico, às seguintes declarações: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 xml:space="preserve">que </w:t>
      </w:r>
      <w:r>
        <w:rPr>
          <w:rFonts w:cs="Times New Roman" w:ascii="Times New Roman" w:hAnsi="Times New Roman"/>
          <w:color w:val="000000"/>
          <w:szCs w:val="20"/>
        </w:rPr>
        <w:t>cumpre</w:t>
      </w:r>
      <w:r>
        <w:rPr>
          <w:rFonts w:cs="Times New Roman" w:ascii="Times New Roman" w:hAnsi="Times New Roman"/>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1224" w:hanging="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FASE DE LANCES</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Times New Roman" w:ascii="Times New Roman" w:hAnsi="Times New Roman"/>
          <w:bCs/>
          <w:color w:val="000000"/>
          <w:szCs w:val="20"/>
          <w:lang w:eastAsia="en-US"/>
        </w:rPr>
        <w:t>exclusivamente por meio do sistema eletrônico</w:t>
      </w:r>
      <w:r>
        <w:rPr>
          <w:rFonts w:cs="Times New Roman" w:ascii="Times New Roman" w:hAnsi="Times New Roman"/>
          <w:color w:val="000000"/>
          <w:szCs w:val="20"/>
          <w:lang w:eastAsia="en-US"/>
        </w:rPr>
        <w:t xml:space="preserve">, </w:t>
      </w:r>
      <w:r>
        <w:rPr>
          <w:rFonts w:cs="Times New Roman" w:ascii="Times New Roman" w:hAnsi="Times New Roman"/>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iCs/>
          <w:color w:val="000000" w:themeColor="text1"/>
          <w:szCs w:val="20"/>
        </w:rPr>
        <w:t xml:space="preserve"> </w:t>
      </w:r>
      <w:r>
        <w:rPr>
          <w:rFonts w:cs="Times New Roman" w:ascii="Times New Roman" w:hAnsi="Times New Roman"/>
          <w:iCs/>
          <w:color w:val="000000" w:themeColor="text1"/>
          <w:szCs w:val="20"/>
        </w:rPr>
        <w:t>O lance deverá ser ofertado pelo valor total do item.</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 </w:t>
      </w:r>
      <w:r>
        <w:rPr>
          <w:rFonts w:cs="Times New Roman" w:ascii="Times New Roman" w:hAnsi="Times New Roman"/>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szCs w:val="20"/>
        </w:rPr>
        <w:t xml:space="preserve"> </w:t>
      </w:r>
      <w:r>
        <w:rPr>
          <w:rFonts w:cs="Times New Roman" w:ascii="Times New Roman" w:hAnsi="Times New Roman"/>
          <w:color w:val="000000"/>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themeColor="text1"/>
          <w:szCs w:val="20"/>
          <w:lang w:eastAsia="en-US"/>
        </w:rPr>
        <w:t xml:space="preserve"> </w:t>
      </w:r>
      <w:r>
        <w:rPr>
          <w:rFonts w:cs="Times New Roman" w:ascii="Times New Roman" w:hAnsi="Times New Roman"/>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JULGAMENTO DAS PROPOSTAS DE PREÇO</w:t>
      </w:r>
    </w:p>
    <w:p>
      <w:pPr>
        <w:pStyle w:val="ListParagraph"/>
        <w:numPr>
          <w:ilvl w:val="1"/>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Times New Roman" w:hAnsi="Times New Roman" w:cs="Times New Roman"/>
          <w:color w:val="000000"/>
        </w:rPr>
      </w:pPr>
      <w:r>
        <w:rPr>
          <w:rFonts w:cs="Times New Roman" w:ascii="Times New Roman" w:hAnsi="Times New Roman"/>
          <w:color w:val="000000"/>
        </w:rPr>
        <w:t xml:space="preserve"> </w:t>
      </w:r>
      <w:r>
        <w:rPr>
          <w:rFonts w:cs="Times New Roman" w:ascii="Times New Roman" w:hAnsi="Times New Roman"/>
          <w:color w:val="00000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 xml:space="preserve"> </w:t>
      </w:r>
      <w:r>
        <w:rPr>
          <w:rFonts w:cs="Times New Roman" w:ascii="Times New Roman" w:hAnsi="Times New Roman"/>
          <w:color w:val="000000"/>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O prazo de validade </w:t>
      </w:r>
      <w:r>
        <w:rPr>
          <w:rFonts w:cs="Times New Roman" w:ascii="Times New Roman" w:hAnsi="Times New Roman"/>
          <w:color w:val="000000"/>
          <w:szCs w:val="20"/>
        </w:rPr>
        <w:t>da</w:t>
      </w:r>
      <w:r>
        <w:rPr>
          <w:rFonts w:cs="Times New Roman" w:ascii="Times New Roman" w:hAnsi="Times New Roman"/>
          <w:color w:val="000000" w:themeColor="text1"/>
          <w:szCs w:val="20"/>
        </w:rPr>
        <w:t xml:space="preserve"> proposta não será inferior a 60 (sessenta) dias</w:t>
      </w:r>
      <w:r>
        <w:rPr>
          <w:rFonts w:cs="Times New Roman" w:ascii="Times New Roman" w:hAnsi="Times New Roman"/>
          <w:b/>
          <w:bCs/>
          <w:color w:val="000000" w:themeColor="text1"/>
          <w:szCs w:val="20"/>
        </w:rPr>
        <w:t>,</w:t>
      </w:r>
      <w:r>
        <w:rPr>
          <w:rFonts w:cs="Times New Roman" w:ascii="Times New Roman" w:hAnsi="Times New Roman"/>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contiver vícios insanáveis</w:t>
      </w:r>
      <w:r>
        <w:rPr>
          <w:rFonts w:cs="Times New Roman"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não obedecer às especificações técnicas pormenorizadas neste aviso ou em seus anexos</w:t>
      </w:r>
      <w:r>
        <w:rPr>
          <w:rFonts w:cs="Times New Roman"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não tiverem sua exequibilidade demonstrada, quando exigido pela Administração</w:t>
      </w:r>
      <w:r>
        <w:rPr>
          <w:rFonts w:cs="Times New Roman"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themeColor="text1"/>
          <w:szCs w:val="20"/>
          <w:lang w:eastAsia="en-US"/>
        </w:rPr>
        <w:t>Quando</w:t>
      </w:r>
      <w:r>
        <w:rPr>
          <w:rFonts w:cs="Times New Roman" w:ascii="Times New Roman" w:hAnsi="Times New Roman"/>
          <w:color w:val="000000"/>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Times New Roman" w:hAnsi="Times New Roman" w:cs="Times New Roman"/>
          <w:color w:val="000000"/>
        </w:rPr>
      </w:pPr>
      <w:r>
        <w:rPr>
          <w:rFonts w:cs="Times New Roman" w:ascii="Times New Roman" w:hAnsi="Times New Roman"/>
          <w:color w:val="000000"/>
          <w:szCs w:val="20"/>
        </w:rPr>
        <w:t xml:space="preserve"> </w:t>
      </w:r>
      <w:r>
        <w:rPr>
          <w:rFonts w:cs="Times New Roman" w:ascii="Times New Roman" w:hAnsi="Times New Roman"/>
          <w:color w:val="00000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Se houver indícios de inexequibilidade da proposta de preço, ou em caso da necessidade de esclarecimentos </w:t>
      </w:r>
      <w:r>
        <w:rPr>
          <w:rFonts w:cs="Times New Roman" w:ascii="Times New Roman" w:hAnsi="Times New Roman"/>
          <w:color w:val="000000"/>
          <w:szCs w:val="20"/>
        </w:rPr>
        <w:t>complementares</w:t>
      </w:r>
      <w:r>
        <w:rPr>
          <w:rFonts w:cs="Times New Roman" w:ascii="Times New Roman" w:hAnsi="Times New Roman"/>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Erros no preenchimento da planilha não constituem motivo para a desclassificação da proposta. A planilha </w:t>
      </w:r>
      <w:r>
        <w:rPr>
          <w:rFonts w:cs="Times New Roman" w:ascii="Times New Roman" w:hAnsi="Times New Roman"/>
          <w:color w:val="000000"/>
          <w:szCs w:val="20"/>
        </w:rPr>
        <w:t>poderá</w:t>
      </w:r>
      <w:r>
        <w:rPr>
          <w:rFonts w:cs="Times New Roman" w:ascii="Times New Roman" w:hAnsi="Times New Roman"/>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 </w:t>
      </w:r>
      <w:r>
        <w:rPr>
          <w:rFonts w:cs="Times New Roman" w:ascii="Times New Roman" w:hAnsi="Times New Roman"/>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 </w:t>
      </w:r>
      <w:r>
        <w:rPr>
          <w:rFonts w:cs="Times New Roman" w:ascii="Times New Roman" w:hAnsi="Times New Roman"/>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ascii="Times New Roman" w:hAnsi="Times New Roman" w:cs="Times New Roman"/>
          <w:color w:val="000000"/>
        </w:rPr>
      </w:pPr>
      <w:r>
        <w:rPr>
          <w:rFonts w:cs="Times New Roman" w:ascii="Times New Roman" w:hAnsi="Times New Roman"/>
          <w:color w:val="000000" w:themeColor="text1"/>
          <w:szCs w:val="20"/>
          <w:lang w:eastAsia="en-US"/>
        </w:rPr>
        <w:t>Encerrada a análise quanto à aceitação da proposta, se iniciará a fase de habilitação, observado o disposto neste Aviso de Contratação Direta.</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HABILITAÇÃO</w:t>
      </w:r>
    </w:p>
    <w:p>
      <w:pPr>
        <w:pStyle w:val="ListParagraph"/>
        <w:numPr>
          <w:ilvl w:val="1"/>
          <w:numId w:val="1"/>
        </w:numPr>
        <w:spacing w:lineRule="auto" w:line="276" w:before="120" w:after="120"/>
        <w:ind w:left="792" w:hanging="574"/>
        <w:contextualSpacing/>
        <w:jc w:val="both"/>
        <w:rPr>
          <w:rFonts w:ascii="Times New Roman" w:hAnsi="Times New Roman" w:cs="Times New Roman"/>
          <w:b/>
          <w:b/>
          <w:szCs w:val="20"/>
          <w:lang w:eastAsia="ar-SA"/>
        </w:rPr>
      </w:pPr>
      <w:r>
        <w:rPr>
          <w:rFonts w:cs="Times New Roman" w:ascii="Times New Roman" w:hAnsi="Times New Roman"/>
          <w:color w:val="000000"/>
          <w:szCs w:val="20"/>
          <w:lang w:eastAsia="ar-SA"/>
        </w:rPr>
        <w:t xml:space="preserve">Os </w:t>
      </w:r>
      <w:r>
        <w:rPr>
          <w:rFonts w:cs="Times New Roman" w:ascii="Times New Roman" w:hAnsi="Times New Roman"/>
          <w:color w:val="000000"/>
          <w:szCs w:val="20"/>
        </w:rPr>
        <w:t>documentos</w:t>
      </w:r>
      <w:r>
        <w:rPr>
          <w:rFonts w:cs="Times New Roman" w:ascii="Times New Roman" w:hAnsi="Times New Roman"/>
          <w:color w:val="000000"/>
          <w:szCs w:val="20"/>
          <w:lang w:eastAsia="ar-SA"/>
        </w:rPr>
        <w:t xml:space="preserve"> a serem exigidos para fins de habilitação constam do </w:t>
      </w:r>
      <w:r>
        <w:rPr>
          <w:rFonts w:cs="Times New Roman" w:ascii="Times New Roman" w:hAnsi="Times New Roman"/>
          <w:b/>
          <w:color w:val="000000"/>
          <w:szCs w:val="20"/>
          <w:lang w:eastAsia="ar-SA"/>
        </w:rPr>
        <w:t xml:space="preserve">ANEXO I – DOCUMENTAÇÃO EXIGIDA PARA HABILITAÇÃO </w:t>
      </w:r>
      <w:r>
        <w:rPr>
          <w:rFonts w:cs="Times New Roman" w:ascii="Times New Roman" w:hAnsi="Times New Roman"/>
          <w:color w:val="000000"/>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ascii="Times New Roman" w:hAnsi="Times New Roman" w:cs="Times New Roman"/>
          <w:b/>
          <w:b/>
          <w:szCs w:val="20"/>
          <w:lang w:eastAsia="ar-SA"/>
        </w:rPr>
      </w:pPr>
      <w:r>
        <w:rPr>
          <w:rFonts w:cs="Times New Roman" w:ascii="Times New Roman" w:hAnsi="Times New Roman"/>
          <w:color w:val="000000"/>
          <w:szCs w:val="20"/>
          <w:lang w:eastAsia="ar-SA"/>
        </w:rPr>
        <w:t xml:space="preserve">Como </w:t>
      </w:r>
      <w:r>
        <w:rPr>
          <w:rFonts w:cs="Times New Roman" w:ascii="Times New Roman" w:hAnsi="Times New Roman"/>
          <w:color w:val="000000"/>
          <w:szCs w:val="20"/>
        </w:rPr>
        <w:t>condição</w:t>
      </w:r>
      <w:r>
        <w:rPr>
          <w:rFonts w:cs="Times New Roman" w:ascii="Times New Roman" w:hAnsi="Times New Roman"/>
          <w:color w:val="00000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ascii="Times New Roman" w:hAnsi="Times New Roman" w:cs="Times New Roman"/>
          <w:szCs w:val="20"/>
          <w:lang w:eastAsia="ar-SA"/>
        </w:rPr>
      </w:pPr>
      <w:r>
        <w:rPr>
          <w:rFonts w:cs="Times New Roman" w:ascii="Times New Roman" w:hAnsi="Times New Roman"/>
          <w:color w:val="000000"/>
          <w:szCs w:val="20"/>
          <w:lang w:eastAsia="ar-SA"/>
        </w:rPr>
        <w:t xml:space="preserve">a) SICAF;  </w:t>
      </w:r>
    </w:p>
    <w:p>
      <w:pPr>
        <w:pStyle w:val="ListParagraph"/>
        <w:spacing w:lineRule="auto" w:line="276" w:before="120" w:after="120"/>
        <w:ind w:left="1134" w:hanging="0"/>
        <w:contextualSpacing/>
        <w:jc w:val="both"/>
        <w:rPr>
          <w:rFonts w:ascii="Times New Roman" w:hAnsi="Times New Roman" w:cs="Times New Roman"/>
        </w:rPr>
      </w:pPr>
      <w:r>
        <w:rPr>
          <w:rFonts w:cs="Times New Roman" w:ascii="Times New Roman" w:hAnsi="Times New Roman"/>
          <w:color w:val="000000"/>
          <w:szCs w:val="20"/>
          <w:lang w:eastAsia="ar-SA"/>
        </w:rPr>
        <w:t>b) Cadastro Nacional de Empresas Inidôneas e Suspensas - CEIS, mantido pela Controladoria-Geral da União (</w:t>
      </w:r>
      <w:hyperlink r:id="rId4">
        <w:r>
          <w:rPr>
            <w:rStyle w:val="LinkdaInternet"/>
            <w:rFonts w:eastAsia="Calibri" w:cs="Times New Roman" w:ascii="Times New Roman" w:hAnsi="Times New Roman"/>
            <w:color w:val="000000"/>
            <w:lang w:eastAsia="ar-SA"/>
          </w:rPr>
          <w:t>www.portaldatransparencia.gov.br/ceis</w:t>
        </w:r>
      </w:hyperlink>
      <w:r>
        <w:rPr>
          <w:rFonts w:cs="Times New Roman" w:ascii="Times New Roman" w:hAnsi="Times New Roman"/>
          <w:color w:val="000000"/>
          <w:szCs w:val="20"/>
          <w:lang w:eastAsia="ar-SA"/>
        </w:rPr>
        <w:t xml:space="preserve">);  </w:t>
      </w:r>
    </w:p>
    <w:p>
      <w:pPr>
        <w:pStyle w:val="ListParagraph"/>
        <w:spacing w:lineRule="auto" w:line="276" w:before="120" w:after="120"/>
        <w:ind w:left="1134" w:hanging="0"/>
        <w:contextualSpacing/>
        <w:jc w:val="both"/>
        <w:rPr>
          <w:rFonts w:ascii="Times New Roman" w:hAnsi="Times New Roman" w:cs="Times New Roman"/>
        </w:rPr>
      </w:pPr>
      <w:r>
        <w:rPr>
          <w:rFonts w:cs="Times New Roman" w:ascii="Times New Roman" w:hAnsi="Times New Roman"/>
          <w:color w:val="000000"/>
          <w:szCs w:val="20"/>
          <w:lang w:eastAsia="ar-SA"/>
        </w:rPr>
        <w:t>c) Cadastro Nacional de Condenações Cíveis por Atos de Improbidade Administrativa, mantido pelo Conselho Nacional de Justiça (</w:t>
      </w:r>
      <w:hyperlink r:id="rId5">
        <w:r>
          <w:rPr>
            <w:rStyle w:val="LinkdaInternet"/>
            <w:rFonts w:eastAsia="Calibri" w:cs="Times New Roman" w:ascii="Times New Roman" w:hAnsi="Times New Roman"/>
            <w:color w:val="000000"/>
            <w:lang w:eastAsia="ar-SA"/>
          </w:rPr>
          <w:t>www.cnj.jus.br/improbidade_adm/consultar_requerido.php</w:t>
        </w:r>
      </w:hyperlink>
      <w:r>
        <w:rPr>
          <w:rFonts w:cs="Times New Roman" w:ascii="Times New Roman" w:hAnsi="Times New Roman"/>
          <w:color w:val="000000"/>
          <w:szCs w:val="20"/>
          <w:lang w:eastAsia="ar-SA"/>
        </w:rPr>
        <w:t xml:space="preserve">).  </w:t>
      </w:r>
    </w:p>
    <w:p>
      <w:pPr>
        <w:pStyle w:val="ListParagraph"/>
        <w:spacing w:lineRule="auto" w:line="276" w:before="120" w:after="120"/>
        <w:ind w:left="1134" w:hanging="0"/>
        <w:contextualSpacing/>
        <w:jc w:val="both"/>
        <w:rPr>
          <w:rFonts w:ascii="Times New Roman" w:hAnsi="Times New Roman" w:cs="Times New Roman"/>
          <w:szCs w:val="20"/>
          <w:lang w:eastAsia="ar-SA"/>
        </w:rPr>
      </w:pPr>
      <w:r>
        <w:rPr>
          <w:rFonts w:cs="Times New Roman" w:ascii="Times New Roman" w:hAnsi="Times New Roman"/>
          <w:color w:val="000000"/>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Times New Roman" w:hAnsi="Times New Roman" w:cs="Times New Roman"/>
          <w:b/>
          <w:b/>
          <w:szCs w:val="20"/>
        </w:rPr>
      </w:pPr>
      <w:r>
        <w:rPr>
          <w:rFonts w:cs="Times New Roman" w:ascii="Times New Roman" w:hAnsi="Times New Roman"/>
          <w:color w:val="000000"/>
          <w:szCs w:val="20"/>
          <w:lang w:eastAsia="ar-SA"/>
        </w:rPr>
        <w:t xml:space="preserve"> </w:t>
      </w:r>
      <w:r>
        <w:rPr>
          <w:rFonts w:cs="Times New Roman" w:ascii="Times New Roman" w:hAnsi="Times New Roman"/>
          <w:color w:val="000000"/>
          <w:szCs w:val="20"/>
          <w:lang w:eastAsia="ar-SA"/>
        </w:rPr>
        <w:t xml:space="preserve">Para a consulta de </w:t>
      </w:r>
      <w:r>
        <w:rPr>
          <w:rFonts w:cs="Times New Roman" w:ascii="Times New Roman" w:hAnsi="Times New Roman"/>
          <w:color w:val="000000" w:themeColor="text1"/>
          <w:szCs w:val="20"/>
        </w:rPr>
        <w:t>fornecedores</w:t>
      </w:r>
      <w:r>
        <w:rPr>
          <w:rFonts w:cs="Times New Roman" w:ascii="Times New Roman" w:hAnsi="Times New Roman"/>
          <w:color w:val="000000"/>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Times New Roman" w:hAnsi="Times New Roman" w:cs="Times New Roman"/>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 xml:space="preserve">A consulta aos </w:t>
      </w:r>
      <w:r>
        <w:rPr>
          <w:rFonts w:cs="Times New Roman" w:ascii="Times New Roman" w:hAnsi="Times New Roman"/>
          <w:color w:val="000000"/>
          <w:szCs w:val="20"/>
          <w:lang w:eastAsia="ar-SA"/>
        </w:rPr>
        <w:t>cadastros</w:t>
      </w:r>
      <w:r>
        <w:rPr>
          <w:rFonts w:cs="Times New Roman" w:ascii="Times New Roman" w:hAnsi="Times New Roman"/>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Times New Roman" w:hAnsi="Times New Roman" w:cs="Times New Roman"/>
          <w:szCs w:val="20"/>
        </w:rPr>
      </w:pPr>
      <w:r>
        <w:rPr>
          <w:rFonts w:cs="Times New Roman" w:ascii="Times New Roman" w:hAnsi="Times New Roman"/>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Times New Roman" w:hAnsi="Times New Roman" w:cs="Times New Roman"/>
          <w:szCs w:val="20"/>
        </w:rPr>
      </w:pPr>
      <w:r>
        <w:rPr>
          <w:rFonts w:cs="Times New Roman" w:ascii="Times New Roman" w:hAnsi="Times New Roman"/>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Times New Roman" w:hAnsi="Times New Roman" w:cs="Times New Roman"/>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ascii="Times New Roman" w:hAnsi="Times New Roman" w:cs="Times New Roman"/>
          <w:szCs w:val="20"/>
        </w:rPr>
      </w:pPr>
      <w:r>
        <w:rPr>
          <w:rFonts w:cs="Times New Roman" w:ascii="Times New Roman" w:hAnsi="Times New Roman"/>
          <w:color w:val="000000" w:themeColor="text1"/>
          <w:szCs w:val="20"/>
        </w:rPr>
        <w:t xml:space="preserve">Caso atendidas as condições de participação, </w:t>
      </w:r>
      <w:r>
        <w:rPr>
          <w:rFonts w:cs="Times New Roman" w:ascii="Times New Roman" w:hAnsi="Times New Roman"/>
          <w:color w:val="000000"/>
          <w:szCs w:val="20"/>
        </w:rPr>
        <w:t>a habilitação dos fornecedores será verificada por meio do SICAF, nos documentos por ele abrangidos</w:t>
      </w:r>
      <w:r>
        <w:rPr>
          <w:rFonts w:cs="Times New Roman" w:ascii="Times New Roman" w:hAnsi="Times New Roman"/>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ascii="Times New Roman" w:hAnsi="Times New Roman" w:cs="Times New Roman"/>
          <w:b/>
          <w:b/>
          <w:bCs/>
          <w:szCs w:val="20"/>
        </w:rPr>
      </w:pPr>
      <w:r>
        <w:rPr>
          <w:rFonts w:cs="Times New Roman" w:ascii="Times New Roman" w:hAnsi="Times New Roman"/>
          <w:bCs/>
          <w:color w:val="000000"/>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ascii="Times New Roman" w:hAnsi="Times New Roman" w:cs="Times New Roman"/>
          <w:bCs/>
          <w:szCs w:val="20"/>
        </w:rPr>
      </w:pPr>
      <w:r>
        <w:rPr>
          <w:rFonts w:cs="Times New Roman" w:ascii="Times New Roman" w:hAnsi="Times New Roman"/>
          <w:bCs/>
          <w:color w:val="000000"/>
          <w:szCs w:val="20"/>
        </w:rPr>
        <w:t xml:space="preserve">Havendo </w:t>
      </w:r>
      <w:r>
        <w:rPr>
          <w:rFonts w:cs="Times New Roman" w:ascii="Times New Roman" w:hAnsi="Times New Roman"/>
          <w:iCs/>
          <w:color w:val="000000"/>
          <w:lang w:eastAsia="en-US"/>
        </w:rPr>
        <w:t>necessidade</w:t>
      </w:r>
      <w:r>
        <w:rPr>
          <w:rFonts w:cs="Times New Roman" w:ascii="Times New Roman" w:hAnsi="Times New Roman"/>
          <w:bCs/>
          <w:color w:val="000000"/>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ascii="Times New Roman" w:hAnsi="Times New Roman" w:cs="Times New Roman"/>
          <w:color w:val="000000"/>
          <w:szCs w:val="20"/>
        </w:rPr>
      </w:pPr>
      <w:r>
        <w:rPr>
          <w:rFonts w:cs="Times New Roman" w:ascii="Times New Roman" w:hAnsi="Times New Roman"/>
          <w:color w:val="000000"/>
          <w:szCs w:val="20"/>
        </w:rPr>
        <w:t xml:space="preserve">Será inabilitado o fornecedor que não comprovar sua habilitação, seja por não apresentar </w:t>
      </w:r>
      <w:r>
        <w:rPr>
          <w:rFonts w:cs="Times New Roman" w:ascii="Times New Roman" w:hAnsi="Times New Roman"/>
          <w:iCs/>
          <w:color w:val="000000"/>
          <w:lang w:eastAsia="en-US"/>
        </w:rPr>
        <w:t>quaisquer</w:t>
      </w:r>
      <w:r>
        <w:rPr>
          <w:rFonts w:cs="Times New Roman" w:ascii="Times New Roman" w:hAnsi="Times New Roman"/>
          <w:color w:val="000000"/>
          <w:szCs w:val="20"/>
        </w:rPr>
        <w:t xml:space="preserve"> dos </w:t>
      </w:r>
      <w:r>
        <w:rPr>
          <w:rFonts w:cs="Times New Roman" w:ascii="Times New Roman" w:hAnsi="Times New Roman"/>
          <w:bCs/>
          <w:color w:val="000000"/>
          <w:szCs w:val="20"/>
        </w:rPr>
        <w:t>documentos</w:t>
      </w:r>
      <w:r>
        <w:rPr>
          <w:rFonts w:cs="Times New Roman" w:ascii="Times New Roman" w:hAnsi="Times New Roman"/>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Times New Roman" w:hAnsi="Times New Roman" w:cs="Times New Roman"/>
          <w:color w:val="000000"/>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ascii="Times New Roman" w:hAnsi="Times New Roman" w:cs="Times New Roman"/>
          <w:iCs/>
          <w:lang w:eastAsia="en-US"/>
        </w:rPr>
      </w:pPr>
      <w:r>
        <w:rPr>
          <w:rFonts w:cs="Times New Roman" w:ascii="Times New Roman" w:hAnsi="Times New Roman"/>
          <w:iCs/>
          <w:color w:val="000000"/>
          <w:lang w:eastAsia="en-US"/>
        </w:rPr>
        <w:t>Constatado o atendimento às exigências de habilitação, o fornecedor será habilitado</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CONTRATAÇÃO</w:t>
      </w:r>
    </w:p>
    <w:p>
      <w:pPr>
        <w:pStyle w:val="Normal"/>
        <w:numPr>
          <w:ilvl w:val="1"/>
          <w:numId w:val="1"/>
        </w:numPr>
        <w:spacing w:lineRule="auto" w:line="276" w:before="120" w:after="120"/>
        <w:ind w:left="425" w:hanging="0"/>
        <w:jc w:val="both"/>
        <w:rPr>
          <w:rFonts w:ascii="Times New Roman" w:hAnsi="Times New Roman" w:eastAsia="Arial" w:cs="Times New Roman"/>
          <w:color w:val="000000"/>
          <w:szCs w:val="20"/>
        </w:rPr>
      </w:pPr>
      <w:r>
        <w:rPr>
          <w:rFonts w:eastAsia="Arial" w:cs="Times New Roman" w:ascii="Times New Roman" w:hAnsi="Times New Roman"/>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 </w:t>
      </w:r>
      <w:r>
        <w:rPr>
          <w:rFonts w:eastAsia="Arial" w:cs="Times New Roman" w:ascii="Times New Roman" w:hAnsi="Times New Roman"/>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rFonts w:ascii="Times New Roman" w:hAnsi="Times New Roman" w:eastAsia="Arial" w:cs="Times New Roman"/>
          <w:color w:val="000000"/>
          <w:szCs w:val="20"/>
        </w:rPr>
      </w:pPr>
      <w:r>
        <w:rPr>
          <w:rFonts w:eastAsia="Arial" w:cs="Times New Roman" w:ascii="Times New Roman" w:hAnsi="Times New Roman"/>
          <w:color w:val="000000"/>
          <w:szCs w:val="20"/>
        </w:rPr>
        <w:t xml:space="preserve"> </w:t>
      </w:r>
      <w:r>
        <w:rPr>
          <w:rFonts w:eastAsia="Arial" w:cs="Times New Roman" w:ascii="Times New Roman" w:hAnsi="Times New Roman"/>
          <w:color w:val="000000"/>
          <w:szCs w:val="20"/>
        </w:rPr>
        <w:t>O prazo previsto para assinatura do contrato ou aceitação da nota de empenho ou instrumento equivalente poderá ser prorrogado</w:t>
      </w:r>
      <w:r>
        <w:rPr>
          <w:rFonts w:cs="Times New Roman" w:ascii="Times New Roman" w:hAnsi="Times New Roman"/>
          <w:bCs/>
          <w:color w:val="000000"/>
        </w:rPr>
        <w:t>1 (uma) vez</w:t>
      </w:r>
      <w:r>
        <w:rPr>
          <w:rFonts w:eastAsia="Arial" w:cs="Times New Roman" w:ascii="Times New Roman" w:hAnsi="Times New Roman"/>
          <w:color w:val="000000"/>
          <w:szCs w:val="20"/>
        </w:rPr>
        <w:t>, por igual período, por solicitação justificada do adjudicatário e aceita pela Administração.</w:t>
      </w:r>
    </w:p>
    <w:p>
      <w:pPr>
        <w:pStyle w:val="Normal"/>
        <w:numPr>
          <w:ilvl w:val="1"/>
          <w:numId w:val="1"/>
        </w:numPr>
        <w:spacing w:lineRule="auto" w:line="276" w:before="120" w:after="120"/>
        <w:ind w:left="425" w:hanging="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 </w:t>
      </w:r>
      <w:r>
        <w:rPr>
          <w:rFonts w:eastAsia="Arial" w:cs="Times New Roman" w:ascii="Times New Roman" w:hAnsi="Times New Roman"/>
          <w:color w:val="000000" w:themeColor="text1"/>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 </w:t>
      </w:r>
      <w:r>
        <w:rPr>
          <w:rFonts w:eastAsia="Arial" w:cs="Times New Roman" w:ascii="Times New Roman" w:hAnsi="Times New Roman"/>
          <w:color w:val="000000" w:themeColor="text1"/>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 </w:t>
      </w:r>
      <w:r>
        <w:rPr>
          <w:rFonts w:eastAsia="Arial" w:cs="Times New Roman" w:ascii="Times New Roman" w:hAnsi="Times New Roman"/>
          <w:color w:val="000000" w:themeColor="text1"/>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ascii="Times New Roman" w:hAnsi="Times New Roman" w:eastAsia="Arial" w:cs="Times New Roman"/>
          <w:color w:val="000000"/>
          <w:szCs w:val="20"/>
        </w:rPr>
      </w:pPr>
      <w:r>
        <w:rPr>
          <w:rFonts w:eastAsia="Arial" w:cs="Times New Roman" w:ascii="Times New Roman" w:hAnsi="Times New Roman"/>
          <w:color w:val="000000"/>
          <w:szCs w:val="20"/>
        </w:rPr>
        <w:t>O prazo de vigência da contratação é até 31 de dezembro de 2022, prorrogável conforme previsão nos anexos a este Aviso de Contratação Direta.</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1217" w:hanging="0"/>
        <w:jc w:val="both"/>
        <w:rPr>
          <w:rFonts w:ascii="Times New Roman" w:hAnsi="Times New Roman" w:eastAsia="Arial" w:cs="Times New Roman"/>
          <w:color w:val="000000"/>
          <w:szCs w:val="20"/>
        </w:rPr>
      </w:pPr>
      <w:r>
        <w:rPr>
          <w:rFonts w:eastAsia="Arial" w:cs="Times New Roman" w:ascii="Times New Roman" w:hAnsi="Times New Roman"/>
          <w:color w:val="000000"/>
          <w:szCs w:val="20"/>
        </w:rPr>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SANÇÕES</w:t>
      </w:r>
    </w:p>
    <w:p>
      <w:pPr>
        <w:pStyle w:val="Normal"/>
        <w:numPr>
          <w:ilvl w:val="1"/>
          <w:numId w:val="1"/>
        </w:numPr>
        <w:spacing w:lineRule="auto" w:line="276" w:before="120" w:after="120"/>
        <w:ind w:left="425" w:hanging="0"/>
        <w:jc w:val="both"/>
        <w:rPr>
          <w:rFonts w:ascii="Times New Roman" w:hAnsi="Times New Roman" w:cs="Times New Roman"/>
          <w:b/>
          <w:b/>
        </w:rPr>
      </w:pPr>
      <w:r>
        <w:rPr>
          <w:rFonts w:cs="Times New Roman" w:ascii="Times New Roman" w:hAnsi="Times New Roman"/>
          <w:color w:val="00000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dar causa à inexecução parcial do contrato</w:t>
      </w:r>
      <w:r>
        <w:rPr>
          <w:rFonts w:cs="Times New Roman" w:ascii="Times New Roman" w:hAnsi="Times New Roman"/>
          <w:color w:val="000000"/>
        </w:rPr>
        <w:t>;</w:t>
      </w:r>
    </w:p>
    <w:p>
      <w:pPr>
        <w:pStyle w:val="Normal"/>
        <w:numPr>
          <w:ilvl w:val="2"/>
          <w:numId w:val="1"/>
        </w:numPr>
        <w:spacing w:lineRule="auto" w:line="276" w:before="120" w:after="120"/>
        <w:ind w:left="1247" w:hanging="510"/>
        <w:jc w:val="both"/>
        <w:rPr>
          <w:rFonts w:ascii="Times New Roman" w:hAnsi="Times New Roman" w:cs="Times New Roman"/>
          <w:color w:val="000000"/>
        </w:rPr>
      </w:pPr>
      <w:r>
        <w:rPr>
          <w:rFonts w:cs="Times New Roman" w:ascii="Times New Roman" w:hAnsi="Times New Roman"/>
          <w:color w:val="000000"/>
          <w:szCs w:val="20"/>
        </w:rPr>
        <w:t xml:space="preserve"> </w:t>
      </w:r>
      <w:r>
        <w:rPr>
          <w:rFonts w:cs="Times New Roman" w:ascii="Times New Roman" w:hAnsi="Times New Roman"/>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dar causa à inexecução total do contrato;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deixar de entregar a documentação exigida para o certame;</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 xml:space="preserve"> </w:t>
      </w:r>
      <w:r>
        <w:rPr>
          <w:rFonts w:cs="Times New Roman" w:ascii="Times New Roman" w:hAnsi="Times New Roman"/>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fraudar a dispensa eletrônica ou praticar ato fraudulento na execução do contrato;</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praticar atos ilícitos com vistas a frustrar os objetivos deste certame.</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praticar ato lesivo previsto no </w:t>
      </w:r>
      <w:r>
        <w:fldChar w:fldCharType="begin"/>
      </w:r>
      <w:r>
        <w:rPr>
          <w:rFonts w:cs="Times New Roman" w:ascii="Times New Roman" w:hAnsi="Times New Roman"/>
        </w:rPr>
        <w:instrText xml:space="preserve"> HYPERLINK "http://www.planalto.gov.br/ccivil_03/_Ato2011-2014/2013/Lei/L12846.htm" \l "art5"</w:instrText>
      </w:r>
      <w:r>
        <w:rPr>
          <w:rFonts w:cs="Times New Roman" w:ascii="Times New Roman" w:hAnsi="Times New Roman"/>
        </w:rPr>
        <w:fldChar w:fldCharType="separate"/>
      </w:r>
      <w:r>
        <w:rPr>
          <w:rFonts w:cs="Times New Roman" w:ascii="Times New Roman" w:hAnsi="Times New Roman"/>
        </w:rPr>
        <w:t>art. 5º da Lei nº 12.846, de 1º de agosto de 2013.</w:t>
      </w:r>
      <w:r>
        <w:rPr>
          <w:rFonts w:cs="Times New Roman" w:ascii="Times New Roman" w:hAnsi="Times New Roman"/>
        </w:rPr>
        <w:fldChar w:fldCharType="end"/>
      </w:r>
    </w:p>
    <w:p>
      <w:pPr>
        <w:pStyle w:val="Normal"/>
        <w:numPr>
          <w:ilvl w:val="1"/>
          <w:numId w:val="1"/>
        </w:numPr>
        <w:spacing w:lineRule="auto" w:line="276" w:before="120" w:after="120"/>
        <w:ind w:left="425" w:hanging="0"/>
        <w:jc w:val="both"/>
        <w:rPr>
          <w:rFonts w:ascii="Times New Roman" w:hAnsi="Times New Roman" w:cs="Times New Roman"/>
          <w:b/>
          <w:b/>
        </w:rPr>
      </w:pPr>
      <w:r>
        <w:rPr>
          <w:rFonts w:cs="Times New Roman" w:ascii="Times New Roman" w:hAnsi="Times New Roman"/>
          <w:color w:val="000000"/>
        </w:rPr>
        <w:t>O fornecedor que cometer qualquer das infrações discriminadas nos subitens anteriores ficará sujeito, sem prejuízo da responsabilidade civil e criminal, às seguintes sanções:</w:t>
      </w:r>
    </w:p>
    <w:p>
      <w:pPr>
        <w:pStyle w:val="Normal"/>
        <w:numPr>
          <w:ilvl w:val="2"/>
          <w:numId w:val="4"/>
        </w:numPr>
        <w:spacing w:lineRule="auto" w:line="276" w:before="120" w:after="120"/>
        <w:jc w:val="both"/>
        <w:rPr>
          <w:rFonts w:ascii="Times New Roman" w:hAnsi="Times New Roman" w:cs="Times New Roman"/>
        </w:rPr>
      </w:pPr>
      <w:r>
        <w:rPr>
          <w:rFonts w:cs="Times New Roman" w:ascii="Times New Roman" w:hAnsi="Times New Roman"/>
          <w:color w:val="000000"/>
        </w:rPr>
        <w:t>Advertência pela falta do subitem 8.1.1 deste Aviso de Contratação Direta,quando não se justificar a imposição de penalidade mais grave;</w:t>
      </w:r>
    </w:p>
    <w:p>
      <w:pPr>
        <w:pStyle w:val="Normal"/>
        <w:numPr>
          <w:ilvl w:val="2"/>
          <w:numId w:val="4"/>
        </w:numPr>
        <w:spacing w:lineRule="auto" w:line="276" w:before="120" w:after="120"/>
        <w:jc w:val="both"/>
        <w:rPr>
          <w:rFonts w:ascii="Times New Roman" w:hAnsi="Times New Roman" w:cs="Times New Roman"/>
        </w:rPr>
      </w:pPr>
      <w:r>
        <w:rPr>
          <w:rFonts w:cs="Times New Roman" w:ascii="Times New Roman" w:hAnsi="Times New Roman"/>
          <w:color w:val="000000"/>
        </w:rPr>
        <w:t xml:space="preserve">Multa de </w:t>
      </w:r>
      <w:r>
        <w:rPr>
          <w:rFonts w:cs="Times New Roman" w:ascii="Times New Roman" w:hAnsi="Times New Roman"/>
          <w:color w:val="000000" w:themeColor="text1"/>
        </w:rPr>
        <w:t>20% (vinte por cento) so</w:t>
      </w:r>
      <w:r>
        <w:rPr>
          <w:rFonts w:cs="Times New Roman" w:ascii="Times New Roman" w:hAnsi="Times New Roman"/>
          <w:color w:val="000000"/>
        </w:rPr>
        <w:t>bre o valor estimado do(s) item(s) prejudicado(s) pela conduta do fornecedor, por qualquer das infrações dos subitens 8.1.1 a 8.1.12;</w:t>
      </w:r>
    </w:p>
    <w:p>
      <w:pPr>
        <w:pStyle w:val="Normal"/>
        <w:numPr>
          <w:ilvl w:val="2"/>
          <w:numId w:val="4"/>
        </w:numPr>
        <w:spacing w:lineRule="auto" w:line="276" w:before="120" w:after="120"/>
        <w:jc w:val="both"/>
        <w:rPr>
          <w:rFonts w:ascii="Times New Roman" w:hAnsi="Times New Roman" w:cs="Times New Roman"/>
        </w:rPr>
      </w:pPr>
      <w:r>
        <w:rPr>
          <w:rFonts w:cs="Times New Roman" w:ascii="Times New Roman" w:hAnsi="Times New Roman"/>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Times New Roman" w:ascii="Times New Roman" w:hAnsi="Times New Roman"/>
          <w:color w:val="000000"/>
        </w:rPr>
        <w:t>;</w:t>
      </w:r>
    </w:p>
    <w:p>
      <w:pPr>
        <w:pStyle w:val="Normal"/>
        <w:numPr>
          <w:ilvl w:val="2"/>
          <w:numId w:val="4"/>
        </w:numPr>
        <w:spacing w:lineRule="auto" w:line="276" w:before="120" w:after="120"/>
        <w:jc w:val="both"/>
        <w:rPr>
          <w:rFonts w:ascii="Times New Roman" w:hAnsi="Times New Roman" w:cs="Times New Roman"/>
        </w:rPr>
      </w:pPr>
      <w:r>
        <w:rPr>
          <w:rFonts w:cs="Times New Roman" w:ascii="Times New Roman" w:hAnsi="Times New Roman"/>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Times New Roman" w:ascii="Times New Roman" w:hAnsi="Times New Roman"/>
          <w:color w:val="000000"/>
        </w:rPr>
        <w:t>;</w:t>
      </w:r>
    </w:p>
    <w:p>
      <w:pPr>
        <w:pStyle w:val="Normal"/>
        <w:numPr>
          <w:ilvl w:val="1"/>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Na aplicação das sanções serão considerados:</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a natureza e a gravidade da infração cometida;</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as peculiaridades do caso concreto;</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as circunstâncias agravantes ou atenuantes;</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os danos que dela provierem para a Administração Pública;</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ascii="Times New Roman" w:hAnsi="Times New Roman" w:cs="Times New Roman"/>
        </w:rPr>
      </w:pPr>
      <w:bookmarkStart w:id="1" w:name="art156%252525252525252525252525252525252"/>
      <w:bookmarkEnd w:id="1"/>
      <w:r>
        <w:rPr>
          <w:rFonts w:cs="Times New Roman" w:ascii="Times New Roman" w:hAnsi="Times New Roman"/>
          <w:color w:val="000000"/>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A penalidade de multa pode ser aplicada cumulativamente com as demais sanções.</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rPr>
        <w:t>As sanções por atos praticados no decorrer da contratação estão previstas nos anexos a este Aviso.</w:t>
      </w:r>
    </w:p>
    <w:p>
      <w:pPr>
        <w:pStyle w:val="Normal"/>
        <w:spacing w:lineRule="auto" w:line="276" w:before="120" w:after="120"/>
        <w:ind w:left="1217" w:hanging="0"/>
        <w:jc w:val="both"/>
        <w:rPr>
          <w:rFonts w:ascii="Times New Roman" w:hAnsi="Times New Roman" w:cs="Times New Roman"/>
        </w:rPr>
      </w:pPr>
      <w:r>
        <w:rPr>
          <w:rFonts w:cs="Times New Roman" w:ascii="Times New Roman" w:hAnsi="Times New Roman"/>
        </w:rPr>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DAS DISPOSIÇÕES GERAIS</w:t>
      </w:r>
    </w:p>
    <w:p>
      <w:pPr>
        <w:pStyle w:val="Normal"/>
        <w:numPr>
          <w:ilvl w:val="1"/>
          <w:numId w:val="1"/>
        </w:numPr>
        <w:snapToGrid w:val="false"/>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Republicar o presente aviso com uma nova data;</w:t>
      </w:r>
    </w:p>
    <w:p>
      <w:pPr>
        <w:pStyle w:val="Normal"/>
        <w:numPr>
          <w:ilvl w:val="2"/>
          <w:numId w:val="1"/>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 xml:space="preserve"> </w:t>
      </w:r>
      <w:r>
        <w:rPr>
          <w:rFonts w:cs="Times New Roman" w:ascii="Times New Roman" w:hAnsi="Times New Roman"/>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spacing w:lineRule="auto" w:line="276" w:before="120" w:after="120"/>
        <w:ind w:left="1217"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spacing w:lineRule="auto" w:line="276" w:before="120" w:after="120"/>
        <w:ind w:left="1217"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120" w:after="120"/>
        <w:ind w:left="1217" w:hanging="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spacing w:lineRule="auto" w:line="276" w:before="120" w:after="120"/>
        <w:ind w:left="1217"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Em caso de divergência entre disposições deste Aviso de Contratação Direta e de seus anexos ou demais peças que compõem o processo, prevalecerá as deste Aviso.</w:t>
      </w:r>
    </w:p>
    <w:p>
      <w:pPr>
        <w:pStyle w:val="Normal"/>
        <w:spacing w:lineRule="auto" w:line="276" w:before="120" w:after="120"/>
        <w:ind w:left="425"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Da sessão pública será divulgada Ata no sistema eletrônico.</w:t>
      </w:r>
    </w:p>
    <w:p>
      <w:pPr>
        <w:pStyle w:val="Normal"/>
        <w:spacing w:lineRule="auto" w:line="276" w:before="120" w:after="120"/>
        <w:ind w:left="1217"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ANEXO I – Documentação exigida para Habilitação</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ANEXO II - Termo de Referência;</w:t>
      </w:r>
    </w:p>
    <w:p>
      <w:pPr>
        <w:pStyle w:val="Normal"/>
        <w:spacing w:lineRule="auto" w:line="276" w:before="120" w:after="120"/>
        <w:ind w:left="1224" w:hanging="0"/>
        <w:jc w:val="both"/>
        <w:rPr>
          <w:rFonts w:ascii="Times New Roman" w:hAnsi="Times New Roman" w:cs="Times New Roman"/>
          <w:color w:val="000000"/>
          <w:szCs w:val="20"/>
        </w:rPr>
      </w:pPr>
      <w:r>
        <w:rPr>
          <w:rFonts w:cs="Times New Roman" w:ascii="Times New Roman" w:hAnsi="Times New Roman"/>
          <w:color w:val="000000"/>
          <w:szCs w:val="20"/>
        </w:rPr>
      </w:r>
    </w:p>
    <w:p>
      <w:pPr>
        <w:pStyle w:val="Normal"/>
        <w:spacing w:lineRule="auto" w:line="276" w:before="120" w:after="120"/>
        <w:ind w:left="1224" w:hanging="0"/>
        <w:jc w:val="both"/>
        <w:rPr>
          <w:rFonts w:ascii="Times New Roman" w:hAnsi="Times New Roman" w:cs="Times New Roman"/>
          <w:color w:val="000000"/>
          <w:szCs w:val="20"/>
        </w:rPr>
      </w:pPr>
      <w:r>
        <w:rPr>
          <w:rFonts w:cs="Times New Roman" w:ascii="Times New Roman" w:hAnsi="Times New Roman"/>
          <w:color w:val="000000"/>
          <w:szCs w:val="20"/>
        </w:rPr>
      </w:r>
    </w:p>
    <w:p>
      <w:pPr>
        <w:pStyle w:val="Normal"/>
        <w:spacing w:lineRule="auto" w:line="276" w:before="0" w:after="120"/>
        <w:ind w:left="360" w:right="-15" w:hanging="0"/>
        <w:jc w:val="center"/>
        <w:rPr>
          <w:rFonts w:ascii="Times New Roman" w:hAnsi="Times New Roman" w:cs="Times New Roman"/>
          <w:color w:val="000000"/>
        </w:rPr>
      </w:pPr>
      <w:r>
        <w:rPr>
          <w:rFonts w:cs="Times New Roman" w:ascii="Times New Roman" w:hAnsi="Times New Roman"/>
          <w:color w:val="000000"/>
          <w:szCs w:val="20"/>
        </w:rPr>
        <w:t>Manaus-AM, 06, de junho de 2023.</w:t>
      </w:r>
    </w:p>
    <w:p>
      <w:pPr>
        <w:pStyle w:val="Normal"/>
        <w:spacing w:lineRule="auto" w:line="276"/>
        <w:jc w:val="both"/>
        <w:rPr>
          <w:rFonts w:ascii="Times New Roman" w:hAnsi="Times New Roman" w:cs="Times New Roman"/>
          <w:color w:val="000000"/>
        </w:rPr>
      </w:pPr>
      <w:r>
        <w:rPr>
          <w:rFonts w:cs="Times New Roman" w:ascii="Times New Roman" w:hAnsi="Times New Roman"/>
          <w:b/>
          <w:bCs/>
          <w:iCs/>
          <w:color w:val="000000"/>
          <w:szCs w:val="20"/>
        </w:rPr>
        <w:tab/>
        <w:tab/>
      </w:r>
    </w:p>
    <w:p>
      <w:pPr>
        <w:pStyle w:val="Normal"/>
        <w:spacing w:lineRule="auto" w:line="276"/>
        <w:jc w:val="both"/>
        <w:rPr>
          <w:rFonts w:ascii="Times New Roman" w:hAnsi="Times New Roman" w:cs="Times New Roman"/>
          <w:b/>
          <w:b/>
          <w:bCs/>
          <w:iCs/>
          <w:color w:val="000000"/>
          <w:szCs w:val="20"/>
        </w:rPr>
      </w:pPr>
      <w:r>
        <w:rPr>
          <w:rFonts w:cs="Times New Roman" w:ascii="Times New Roman" w:hAnsi="Times New Roman"/>
          <w:b/>
          <w:bCs/>
          <w:iCs/>
          <w:color w:val="000000"/>
          <w:szCs w:val="20"/>
        </w:rPr>
      </w:r>
    </w:p>
    <w:p>
      <w:pPr>
        <w:pStyle w:val="Normal"/>
        <w:spacing w:lineRule="auto" w:line="276"/>
        <w:jc w:val="both"/>
        <w:rPr>
          <w:rFonts w:ascii="Times New Roman" w:hAnsi="Times New Roman" w:cs="Times New Roman"/>
          <w:b/>
          <w:b/>
          <w:bCs/>
          <w:iCs/>
          <w:color w:val="000000"/>
          <w:szCs w:val="20"/>
        </w:rPr>
      </w:pPr>
      <w:r>
        <w:rPr>
          <w:rFonts w:cs="Times New Roman" w:ascii="Times New Roman" w:hAnsi="Times New Roman"/>
          <w:b/>
          <w:bCs/>
          <w:iCs/>
          <w:color w:val="000000"/>
          <w:szCs w:val="20"/>
        </w:rPr>
      </w:r>
    </w:p>
    <w:p>
      <w:pPr>
        <w:pStyle w:val="Normal"/>
        <w:spacing w:lineRule="auto" w:line="276"/>
        <w:jc w:val="both"/>
        <w:rPr>
          <w:rFonts w:ascii="Times New Roman" w:hAnsi="Times New Roman" w:cs="Times New Roman"/>
          <w:b/>
          <w:b/>
          <w:bCs/>
          <w:iCs/>
          <w:color w:val="000000"/>
          <w:szCs w:val="20"/>
        </w:rPr>
      </w:pPr>
      <w:r>
        <w:rPr>
          <w:rFonts w:cs="Times New Roman" w:ascii="Times New Roman" w:hAnsi="Times New Roman"/>
          <w:b/>
          <w:bCs/>
          <w:iCs/>
          <w:color w:val="000000"/>
          <w:szCs w:val="20"/>
        </w:rPr>
      </w:r>
    </w:p>
    <w:p>
      <w:pPr>
        <w:pStyle w:val="Normal"/>
        <w:ind w:left="357" w:right="-7" w:hanging="0"/>
        <w:jc w:val="center"/>
        <w:rPr>
          <w:rFonts w:ascii="Times New Roman" w:hAnsi="Times New Roman" w:cs="Times New Roman"/>
          <w:color w:val="000000"/>
        </w:rPr>
      </w:pPr>
      <w:r>
        <w:rPr>
          <w:rFonts w:cs="Times New Roman" w:ascii="Times New Roman" w:hAnsi="Times New Roman"/>
          <w:b/>
          <w:color w:val="000000"/>
          <w:sz w:val="22"/>
          <w:szCs w:val="22"/>
          <w:lang w:eastAsia="en-US"/>
        </w:rPr>
        <w:t>ADILSON INÁCIO DE OLIVEIRA – Ten Cel</w:t>
      </w:r>
    </w:p>
    <w:p>
      <w:pPr>
        <w:sectPr>
          <w:footerReference w:type="default" r:id="rId6"/>
          <w:type w:val="nextPage"/>
          <w:pgSz w:w="11906" w:h="16838"/>
          <w:pgMar w:left="720" w:right="720" w:gutter="0" w:header="0" w:top="720" w:footer="777" w:bottom="1520"/>
          <w:pgNumType w:fmt="decimal"/>
          <w:formProt w:val="false"/>
          <w:textDirection w:val="lrTb"/>
          <w:docGrid w:type="default" w:linePitch="240" w:charSpace="9830"/>
        </w:sectPr>
        <w:pStyle w:val="Normal"/>
        <w:spacing w:before="43" w:after="0"/>
        <w:ind w:left="357" w:right="-7" w:hanging="0"/>
        <w:jc w:val="center"/>
        <w:rPr>
          <w:rFonts w:ascii="Times New Roman" w:hAnsi="Times New Roman" w:cs="Times New Roman"/>
          <w:color w:val="000000"/>
        </w:rPr>
      </w:pPr>
      <w:r>
        <w:rPr>
          <w:rFonts w:cs="Times New Roman" w:ascii="Times New Roman" w:hAnsi="Times New Roman"/>
          <w:color w:val="000000"/>
          <w:sz w:val="22"/>
          <w:szCs w:val="22"/>
          <w:lang w:eastAsia="en-US"/>
        </w:rPr>
        <w:t>Ordenador de Despesas do 4° BAvEx</w:t>
      </w:r>
    </w:p>
    <w:p>
      <w:pPr>
        <w:pStyle w:val="Normal"/>
        <w:jc w:val="center"/>
        <w:rPr>
          <w:rFonts w:ascii="Times New Roman" w:hAnsi="Times New Roman" w:cs="Times New Roman"/>
          <w:b/>
          <w:b/>
          <w:bCs/>
          <w:lang w:eastAsia="en-US"/>
        </w:rPr>
      </w:pPr>
      <w:r>
        <w:rPr>
          <w:rFonts w:cs="Times New Roman" w:ascii="Times New Roman" w:hAnsi="Times New Roman"/>
          <w:b/>
          <w:bCs/>
          <w:color w:val="000000"/>
          <w:lang w:eastAsia="en-US"/>
        </w:rPr>
        <w:t>ANEXO I – DOCUMENTAÇÃO EXIGIDA PARA HABILITAÇÃO</w:t>
      </w:r>
    </w:p>
    <w:p>
      <w:pPr>
        <w:pStyle w:val="Normal"/>
        <w:rPr>
          <w:rFonts w:ascii="Times New Roman" w:hAnsi="Times New Roman" w:cs="Times New Roman"/>
          <w:color w:val="000000"/>
          <w:lang w:eastAsia="en-US"/>
        </w:rPr>
      </w:pPr>
      <w:r>
        <w:rPr>
          <w:rFonts w:cs="Times New Roman" w:ascii="Times New Roman" w:hAnsi="Times New Roman"/>
          <w:color w:val="000000"/>
          <w:lang w:eastAsia="en-US"/>
        </w:rPr>
      </w:r>
    </w:p>
    <w:p>
      <w:pPr>
        <w:pStyle w:val="Normal"/>
        <w:rPr>
          <w:rFonts w:ascii="Times New Roman" w:hAnsi="Times New Roman" w:cs="Times New Roman"/>
          <w:color w:val="000000"/>
          <w:lang w:eastAsia="en-US"/>
        </w:rPr>
      </w:pPr>
      <w:r>
        <w:rPr>
          <w:rFonts w:cs="Times New Roman" w:ascii="Times New Roman" w:hAnsi="Times New Roman"/>
          <w:color w:val="000000"/>
          <w:lang w:eastAsia="en-US"/>
        </w:rPr>
      </w:r>
    </w:p>
    <w:p>
      <w:pPr>
        <w:pStyle w:val="PADRO"/>
        <w:widowControl/>
        <w:numPr>
          <w:ilvl w:val="0"/>
          <w:numId w:val="2"/>
        </w:numPr>
        <w:spacing w:before="120" w:after="120"/>
        <w:rPr>
          <w:rFonts w:ascii="Times New Roman" w:hAnsi="Times New Roman" w:cs="Times New Roman"/>
          <w:szCs w:val="20"/>
        </w:rPr>
      </w:pPr>
      <w:r>
        <w:rPr>
          <w:rFonts w:cs="Times New Roman" w:ascii="Times New Roman" w:hAnsi="Times New Roman"/>
          <w:b/>
          <w:bCs/>
          <w:color w:val="000000"/>
          <w:szCs w:val="20"/>
        </w:rPr>
        <w:t xml:space="preserve">Habilitação jurídica: </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no caso de empresário individual, inscrição no Registro Público de Empresas Mercantis, a cargo da Junta Comercial da respectiva sede;</w:t>
      </w:r>
    </w:p>
    <w:p>
      <w:pPr>
        <w:pStyle w:val="ListParagraph"/>
        <w:numPr>
          <w:ilvl w:val="1"/>
          <w:numId w:val="2"/>
        </w:numPr>
        <w:tabs>
          <w:tab w:val="clear" w:pos="420"/>
          <w:tab w:val="left" w:pos="1440" w:leader="none"/>
        </w:tabs>
        <w:snapToGrid w:val="false"/>
        <w:spacing w:lineRule="auto" w:line="276" w:before="120" w:after="120"/>
        <w:contextualSpacing/>
        <w:jc w:val="both"/>
        <w:rPr>
          <w:rFonts w:ascii="Times New Roman" w:hAnsi="Times New Roman" w:cs="Times New Roman"/>
          <w:color w:val="000000"/>
          <w:szCs w:val="20"/>
        </w:rPr>
      </w:pPr>
      <w:r>
        <w:rPr>
          <w:rFonts w:cs="Times New Roman" w:ascii="Times New Roman" w:hAnsi="Times New Roman"/>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inscrição no Registro Público de Empresas Mercantis onde opera, com averbação no Registro onde tem sede a matriz, no caso de ser o participante sucursal, filial ou agência;</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decreto de autorização, em se tratando de sociedade empresária estrangeira em funcionamento no País.</w:t>
      </w:r>
    </w:p>
    <w:p>
      <w:pPr>
        <w:pStyle w:val="ListParagraph"/>
        <w:numPr>
          <w:ilvl w:val="1"/>
          <w:numId w:val="2"/>
        </w:numPr>
        <w:spacing w:lineRule="auto" w:line="276" w:before="120" w:after="120"/>
        <w:contextualSpacing/>
        <w:jc w:val="both"/>
        <w:rPr>
          <w:rFonts w:ascii="Times New Roman" w:hAnsi="Times New Roman" w:cs="Times New Roman"/>
          <w:bCs/>
          <w:color w:val="000000"/>
          <w:szCs w:val="20"/>
        </w:rPr>
      </w:pPr>
      <w:r>
        <w:rPr>
          <w:rFonts w:cs="Times New Roman" w:ascii="Times New Roman" w:hAnsi="Times New Roman"/>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ascii="Times New Roman" w:hAnsi="Times New Roman" w:cs="Times New Roman"/>
          <w:bCs/>
          <w:color w:val="000000"/>
          <w:szCs w:val="20"/>
        </w:rPr>
      </w:pPr>
      <w:r>
        <w:rPr>
          <w:rFonts w:cs="Times New Roman" w:ascii="Times New Roman" w:hAnsi="Times New Roman"/>
          <w:bCs/>
          <w:color w:val="000000"/>
          <w:szCs w:val="20"/>
        </w:rPr>
      </w:r>
    </w:p>
    <w:p>
      <w:pPr>
        <w:pStyle w:val="PADRO"/>
        <w:widowControl/>
        <w:numPr>
          <w:ilvl w:val="0"/>
          <w:numId w:val="2"/>
        </w:numPr>
        <w:spacing w:before="120" w:after="120"/>
        <w:rPr>
          <w:rFonts w:ascii="Times New Roman" w:hAnsi="Times New Roman" w:cs="Times New Roman"/>
          <w:szCs w:val="20"/>
        </w:rPr>
      </w:pPr>
      <w:r>
        <w:rPr>
          <w:rFonts w:cs="Times New Roman" w:ascii="Times New Roman" w:hAnsi="Times New Roman"/>
          <w:b/>
          <w:bCs/>
          <w:color w:val="000000"/>
          <w:szCs w:val="20"/>
        </w:rPr>
        <w:t xml:space="preserve"> </w:t>
      </w:r>
      <w:r>
        <w:rPr>
          <w:rFonts w:cs="Times New Roman" w:ascii="Times New Roman" w:hAnsi="Times New Roman"/>
          <w:b/>
          <w:bCs/>
          <w:color w:val="000000"/>
          <w:szCs w:val="20"/>
        </w:rPr>
        <w:t>Regularidade fiscal, social e trabalhista:</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lang w:eastAsia="en-US"/>
        </w:rPr>
        <w:t>prova de inscrição no Cadastro Nacional de Pessoas Jurídicas ou no Cadastro de Pessoas Físicas, conforme o caso;</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lang w:eastAsia="en-US"/>
        </w:rPr>
        <w:t>prova de regularidade com o Fundo de Garantia do Tempo de Serviço (FGTS);</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bCs/>
          <w:szCs w:val="20"/>
        </w:rPr>
      </w:pPr>
      <w:r>
        <w:rPr>
          <w:rFonts w:cs="Times New Roman" w:ascii="Times New Roman" w:hAnsi="Times New Roman"/>
          <w:bCs/>
          <w:color w:val="000000"/>
          <w:szCs w:val="20"/>
        </w:rPr>
        <w:t xml:space="preserve">prova de </w:t>
      </w:r>
      <w:r>
        <w:rPr>
          <w:rFonts w:cs="Times New Roman" w:ascii="Times New Roman" w:hAnsi="Times New Roman"/>
          <w:color w:val="000000"/>
          <w:szCs w:val="20"/>
        </w:rPr>
        <w:t xml:space="preserve">inscrição no cadastro de contribuintes </w:t>
      </w:r>
      <w:r>
        <w:rPr>
          <w:rFonts w:cs="Times New Roman" w:ascii="Times New Roman" w:hAnsi="Times New Roman"/>
          <w:i/>
          <w:iCs/>
          <w:color w:val="000000" w:themeColor="text1"/>
          <w:szCs w:val="20"/>
        </w:rPr>
        <w:t>estadual e/ou municipal</w:t>
      </w:r>
      <w:r>
        <w:rPr>
          <w:rFonts w:cs="Times New Roman" w:ascii="Times New Roman" w:hAnsi="Times New Roman"/>
          <w:color w:val="000000" w:themeColor="text1"/>
          <w:szCs w:val="20"/>
        </w:rPr>
        <w:t xml:space="preserve">, </w:t>
      </w:r>
      <w:r>
        <w:rPr>
          <w:rFonts w:cs="Times New Roman" w:ascii="Times New Roman" w:hAnsi="Times New Roman"/>
          <w:color w:val="000000"/>
          <w:szCs w:val="20"/>
        </w:rPr>
        <w:t>relativo ao domicílio ou sede do fornecedor, pertinente ao seu ramo de atividade e compatível com o objeto contratual</w:t>
      </w:r>
      <w:r>
        <w:rPr>
          <w:rFonts w:cs="Times New Roman" w:ascii="Times New Roman" w:hAnsi="Times New Roman"/>
          <w:bCs/>
          <w:color w:val="000000"/>
          <w:szCs w:val="20"/>
        </w:rPr>
        <w:t xml:space="preserve">; </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b/>
          <w:b/>
          <w:szCs w:val="20"/>
        </w:rPr>
      </w:pPr>
      <w:r>
        <w:rPr>
          <w:rFonts w:cs="Times New Roman" w:ascii="Times New Roman" w:hAnsi="Times New Roman"/>
          <w:color w:val="000000"/>
          <w:szCs w:val="20"/>
        </w:rPr>
        <w:t xml:space="preserve">prova de regularidade com a Fazenda </w:t>
      </w:r>
      <w:r>
        <w:rPr>
          <w:rFonts w:cs="Times New Roman" w:ascii="Times New Roman" w:hAnsi="Times New Roman"/>
          <w:i/>
          <w:iCs/>
          <w:color w:val="000000" w:themeColor="text1"/>
          <w:szCs w:val="20"/>
        </w:rPr>
        <w:t xml:space="preserve">Estadual e/ou Municipal </w:t>
      </w:r>
      <w:r>
        <w:rPr>
          <w:rFonts w:cs="Times New Roman" w:ascii="Times New Roman" w:hAnsi="Times New Roman"/>
          <w:color w:val="000000"/>
          <w:szCs w:val="20"/>
        </w:rPr>
        <w:t xml:space="preserve">do domicílio ou sede do fornecedor, relativa à atividade em cujo exercício contrata ou concorre; </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b/>
          <w:b/>
          <w:szCs w:val="20"/>
        </w:rPr>
      </w:pPr>
      <w:r>
        <w:rPr>
          <w:rFonts w:cs="Times New Roman" w:ascii="Times New Roman" w:hAnsi="Times New Roman"/>
          <w:color w:val="000000"/>
          <w:szCs w:val="20"/>
        </w:rPr>
        <w:t xml:space="preserve">caso o fornecedor seja considerado isento dos tributos </w:t>
      </w:r>
      <w:r>
        <w:rPr>
          <w:rFonts w:cs="Times New Roman" w:ascii="Times New Roman" w:hAnsi="Times New Roman"/>
          <w:i/>
          <w:color w:val="000000" w:themeColor="text1"/>
          <w:szCs w:val="20"/>
        </w:rPr>
        <w:t xml:space="preserve">estaduais </w:t>
      </w:r>
      <w:r>
        <w:rPr>
          <w:rFonts w:cs="Times New Roman" w:ascii="Times New Roman" w:hAnsi="Times New Roman"/>
          <w:b/>
          <w:i/>
          <w:color w:val="000000" w:themeColor="text1"/>
          <w:szCs w:val="20"/>
          <w:u w:val="single"/>
        </w:rPr>
        <w:t xml:space="preserve">ou </w:t>
      </w:r>
      <w:r>
        <w:rPr>
          <w:rFonts w:cs="Times New Roman" w:ascii="Times New Roman" w:hAnsi="Times New Roman"/>
          <w:i/>
          <w:color w:val="000000" w:themeColor="text1"/>
          <w:szCs w:val="20"/>
        </w:rPr>
        <w:t xml:space="preserve">municipais  </w:t>
      </w:r>
      <w:r>
        <w:rPr>
          <w:rFonts w:cs="Times New Roman" w:ascii="Times New Roman" w:hAnsi="Times New Roman"/>
          <w:color w:val="000000"/>
          <w:szCs w:val="20"/>
        </w:rPr>
        <w:t xml:space="preserve">relacionados ao objeto contratual, deverá comprovar tal condição mediante a apresentação de declaração da Fazenda respectiva do seu domicílio ou sede, ou outra equivalente, na forma da lei; </w:t>
      </w:r>
    </w:p>
    <w:p>
      <w:pPr>
        <w:pStyle w:val="PADRO"/>
        <w:widowControl/>
        <w:numPr>
          <w:ilvl w:val="0"/>
          <w:numId w:val="2"/>
        </w:numPr>
        <w:spacing w:before="120" w:after="120"/>
        <w:rPr>
          <w:rFonts w:ascii="Times New Roman" w:hAnsi="Times New Roman" w:cs="Times New Roman"/>
          <w:szCs w:val="20"/>
        </w:rPr>
      </w:pPr>
      <w:r>
        <w:rPr>
          <w:rFonts w:cs="Times New Roman" w:ascii="Times New Roman" w:hAnsi="Times New Roman"/>
          <w:b/>
          <w:color w:val="000000"/>
          <w:szCs w:val="20"/>
        </w:rPr>
        <w:t>Qualificação Econômico-Financeira:</w:t>
      </w:r>
    </w:p>
    <w:p>
      <w:pPr>
        <w:pStyle w:val="ListParagraph"/>
        <w:numPr>
          <w:ilvl w:val="1"/>
          <w:numId w:val="2"/>
        </w:numPr>
        <w:tabs>
          <w:tab w:val="clear" w:pos="420"/>
          <w:tab w:val="left" w:pos="1440" w:leader="none"/>
        </w:tabs>
        <w:snapToGrid w:val="false"/>
        <w:spacing w:lineRule="auto" w:line="276" w:before="120" w:after="120"/>
        <w:contextualSpacing/>
        <w:jc w:val="both"/>
        <w:rPr>
          <w:rFonts w:ascii="Times New Roman" w:hAnsi="Times New Roman" w:cs="Times New Roman"/>
          <w:color w:val="000000"/>
          <w:szCs w:val="20"/>
        </w:rPr>
      </w:pPr>
      <w:r>
        <w:rPr>
          <w:rFonts w:cs="Times New Roman" w:ascii="Times New Roman" w:hAnsi="Times New Roman"/>
          <w:color w:val="000000"/>
          <w:szCs w:val="20"/>
        </w:rPr>
        <w:t>certidão negativa de falência expedida pelo distribuidor da sede do fornecedor;</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balanço patrimonial, demonstração de resultado de exercício e demais demonstrações contábeis dos 2 (dois) últimos exercícios sociais;</w:t>
      </w:r>
    </w:p>
    <w:p>
      <w:pPr>
        <w:pStyle w:val="Normal"/>
        <w:numPr>
          <w:ilvl w:val="2"/>
          <w:numId w:val="2"/>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2"/>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Os documentos referidos acima limitar-se-ão ao último exercício no caso de a pessoa jurídica ter sido constituída há menos de 2 (dois) anos.</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2" w:type="dxa"/>
        <w:tblLayout w:type="fixed"/>
        <w:tblCellMar>
          <w:top w:w="0" w:type="dxa"/>
          <w:left w:w="328" w:type="dxa"/>
          <w:bottom w:w="0" w:type="dxa"/>
          <w:right w:w="108" w:type="dxa"/>
        </w:tblCellMar>
        <w:tblLook w:val="04a0" w:noHBand="0" w:noVBand="1" w:firstColumn="1" w:lastRow="0" w:lastColumn="0" w:firstRow="1"/>
      </w:tblPr>
      <w:tblGrid>
        <w:gridCol w:w="2234"/>
        <w:gridCol w:w="4252"/>
      </w:tblGrid>
      <w:tr>
        <w:trPr/>
        <w:tc>
          <w:tcPr>
            <w:tcW w:w="2234" w:type="dxa"/>
            <w:vMerge w:val="restart"/>
            <w:tcBorders>
              <w:top w:val="nil"/>
              <w:left w:val="nil"/>
              <w:bottom w:val="nil"/>
              <w:right w:val="nil"/>
            </w:tcBorders>
            <w:shd w:color="auto" w:fill="auto" w:val="clear"/>
            <w:vAlign w:val="cente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LG =</w:t>
            </w:r>
          </w:p>
        </w:tc>
        <w:tc>
          <w:tcPr>
            <w:tcW w:w="4252" w:type="dxa"/>
            <w:tcBorders>
              <w:top w:val="nil"/>
              <w:left w:val="nil"/>
              <w:right w:val="nil"/>
            </w:tcBorders>
            <w:shd w:color="auto" w:fill="auto" w:val="clear"/>
            <w:vAlign w:val="bottom"/>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Ativo Circulante + Realizável a Longo Prazo</w:t>
            </w:r>
          </w:p>
        </w:tc>
      </w:tr>
      <w:tr>
        <w:trPr/>
        <w:tc>
          <w:tcPr>
            <w:tcW w:w="2234" w:type="dxa"/>
            <w:vMerge w:val="continue"/>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eastAsia="" w:cs="Times New Roman" w:eastAsiaTheme="minorEastAsia"/>
                <w:color w:val="000000"/>
              </w:rPr>
            </w:pPr>
            <w:r>
              <w:rPr>
                <w:rFonts w:eastAsia="" w:cs="Times New Roman" w:eastAsiaTheme="minorEastAsia" w:ascii="Times New Roman" w:hAnsi="Times New Roman"/>
                <w:color w:val="000000"/>
              </w:rPr>
            </w:r>
          </w:p>
        </w:tc>
        <w:tc>
          <w:tcPr>
            <w:tcW w:w="4252" w:type="dxa"/>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Passivo Circulante + Passivo Não Circulante</w:t>
            </w:r>
          </w:p>
        </w:tc>
      </w:tr>
    </w:tbl>
    <w:p>
      <w:pPr>
        <w:pStyle w:val="Normal"/>
        <w:tabs>
          <w:tab w:val="clear" w:pos="420"/>
          <w:tab w:val="left" w:pos="1440" w:leader="none"/>
        </w:tabs>
        <w:snapToGrid w:val="false"/>
        <w:spacing w:lineRule="auto" w:line="276"/>
        <w:ind w:left="1134" w:hanging="0"/>
        <w:jc w:val="both"/>
        <w:rPr>
          <w:rFonts w:ascii="Times New Roman" w:hAnsi="Times New Roman" w:cs="Times New Roman"/>
          <w:color w:val="000000"/>
          <w:szCs w:val="20"/>
        </w:rPr>
      </w:pPr>
      <w:r>
        <w:rPr>
          <w:rFonts w:cs="Times New Roman" w:ascii="Times New Roman" w:hAnsi="Times New Roman"/>
          <w:color w:val="000000"/>
          <w:szCs w:val="20"/>
        </w:rPr>
      </w:r>
    </w:p>
    <w:tbl>
      <w:tblPr>
        <w:tblStyle w:val="Tabelacomgrade"/>
        <w:tblW w:w="6629" w:type="dxa"/>
        <w:jc w:val="left"/>
        <w:tblInd w:w="1132" w:type="dxa"/>
        <w:tblLayout w:type="fixed"/>
        <w:tblCellMar>
          <w:top w:w="0" w:type="dxa"/>
          <w:left w:w="328" w:type="dxa"/>
          <w:bottom w:w="0" w:type="dxa"/>
          <w:right w:w="108" w:type="dxa"/>
        </w:tblCellMar>
        <w:tblLook w:val="04a0" w:noHBand="0" w:noVBand="1" w:firstColumn="1" w:lastRow="0" w:lastColumn="0" w:firstRow="1"/>
      </w:tblPr>
      <w:tblGrid>
        <w:gridCol w:w="2233"/>
        <w:gridCol w:w="4395"/>
      </w:tblGrid>
      <w:tr>
        <w:trPr>
          <w:cantSplit w:val="true"/>
        </w:trPr>
        <w:tc>
          <w:tcPr>
            <w:tcW w:w="2233" w:type="dxa"/>
            <w:vMerge w:val="restart"/>
            <w:tcBorders>
              <w:top w:val="nil"/>
              <w:left w:val="nil"/>
              <w:bottom w:val="nil"/>
              <w:right w:val="nil"/>
            </w:tcBorders>
            <w:shd w:color="auto" w:fill="auto" w:val="clear"/>
            <w:vAlign w:val="cente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SG =</w:t>
            </w:r>
          </w:p>
        </w:tc>
        <w:tc>
          <w:tcPr>
            <w:tcW w:w="4395" w:type="dxa"/>
            <w:tcBorders>
              <w:top w:val="nil"/>
              <w:left w:val="nil"/>
              <w:right w:val="nil"/>
            </w:tcBorders>
            <w:shd w:color="auto" w:fill="auto" w:val="clear"/>
            <w:vAlign w:val="bottom"/>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Ativo Total</w:t>
            </w:r>
          </w:p>
        </w:tc>
      </w:tr>
      <w:tr>
        <w:trPr>
          <w:cantSplit w:val="true"/>
        </w:trPr>
        <w:tc>
          <w:tcPr>
            <w:tcW w:w="2233" w:type="dxa"/>
            <w:vMerge w:val="continue"/>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eastAsia="" w:cs="Times New Roman" w:eastAsiaTheme="minorEastAsia"/>
                <w:color w:val="000000"/>
              </w:rPr>
            </w:pPr>
            <w:r>
              <w:rPr>
                <w:rFonts w:eastAsia="" w:cs="Times New Roman" w:eastAsiaTheme="minorEastAsia" w:ascii="Times New Roman" w:hAnsi="Times New Roman"/>
                <w:color w:val="000000"/>
              </w:rPr>
            </w:r>
          </w:p>
        </w:tc>
        <w:tc>
          <w:tcPr>
            <w:tcW w:w="4395" w:type="dxa"/>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Passivo Circulante + Passivo Não Circulante</w:t>
            </w:r>
          </w:p>
        </w:tc>
      </w:tr>
    </w:tbl>
    <w:p>
      <w:pPr>
        <w:pStyle w:val="Normal"/>
        <w:tabs>
          <w:tab w:val="clear" w:pos="420"/>
          <w:tab w:val="left" w:pos="1440" w:leader="none"/>
        </w:tabs>
        <w:snapToGrid w:val="false"/>
        <w:spacing w:lineRule="auto" w:line="276"/>
        <w:ind w:left="1134" w:hanging="0"/>
        <w:jc w:val="both"/>
        <w:rPr>
          <w:rFonts w:ascii="Times New Roman" w:hAnsi="Times New Roman" w:cs="Times New Roman"/>
          <w:color w:val="000000"/>
          <w:szCs w:val="20"/>
        </w:rPr>
      </w:pPr>
      <w:r>
        <w:rPr>
          <w:rFonts w:cs="Times New Roman" w:ascii="Times New Roman" w:hAnsi="Times New Roman"/>
          <w:color w:val="000000"/>
          <w:szCs w:val="20"/>
        </w:rPr>
      </w:r>
    </w:p>
    <w:tbl>
      <w:tblPr>
        <w:tblStyle w:val="Tabelacomgrade"/>
        <w:tblW w:w="4786" w:type="dxa"/>
        <w:jc w:val="left"/>
        <w:tblInd w:w="1132" w:type="dxa"/>
        <w:tblLayout w:type="fixed"/>
        <w:tblCellMar>
          <w:top w:w="0" w:type="dxa"/>
          <w:left w:w="328" w:type="dxa"/>
          <w:bottom w:w="0" w:type="dxa"/>
          <w:right w:w="108" w:type="dxa"/>
        </w:tblCellMar>
        <w:tblLook w:val="04a0" w:noHBand="0" w:noVBand="1" w:firstColumn="1" w:lastRow="0" w:lastColumn="0" w:firstRow="1"/>
      </w:tblPr>
      <w:tblGrid>
        <w:gridCol w:w="2235"/>
        <w:gridCol w:w="2550"/>
      </w:tblGrid>
      <w:tr>
        <w:trPr/>
        <w:tc>
          <w:tcPr>
            <w:tcW w:w="2235" w:type="dxa"/>
            <w:vMerge w:val="restart"/>
            <w:tcBorders>
              <w:top w:val="nil"/>
              <w:left w:val="nil"/>
              <w:bottom w:val="nil"/>
              <w:right w:val="nil"/>
            </w:tcBorders>
            <w:shd w:color="auto" w:fill="auto" w:val="clear"/>
            <w:vAlign w:val="cente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LC =</w:t>
            </w:r>
          </w:p>
        </w:tc>
        <w:tc>
          <w:tcPr>
            <w:tcW w:w="2550" w:type="dxa"/>
            <w:tcBorders>
              <w:top w:val="nil"/>
              <w:left w:val="nil"/>
              <w:right w:val="nil"/>
            </w:tcBorders>
            <w:shd w:color="auto" w:fill="auto" w:val="clear"/>
            <w:vAlign w:val="bottom"/>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Ativo Circulante</w:t>
            </w:r>
          </w:p>
        </w:tc>
      </w:tr>
      <w:tr>
        <w:trPr/>
        <w:tc>
          <w:tcPr>
            <w:tcW w:w="2235" w:type="dxa"/>
            <w:vMerge w:val="continue"/>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eastAsia="" w:cs="Times New Roman" w:eastAsiaTheme="minorEastAsia"/>
                <w:color w:val="000000"/>
              </w:rPr>
            </w:pPr>
            <w:r>
              <w:rPr>
                <w:rFonts w:eastAsia="" w:cs="Times New Roman" w:eastAsiaTheme="minorEastAsia" w:ascii="Times New Roman" w:hAnsi="Times New Roman"/>
                <w:color w:val="000000"/>
              </w:rPr>
            </w:r>
          </w:p>
        </w:tc>
        <w:tc>
          <w:tcPr>
            <w:tcW w:w="2550" w:type="dxa"/>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Passivo Circulante</w:t>
            </w:r>
          </w:p>
        </w:tc>
      </w:tr>
    </w:tbl>
    <w:p>
      <w:pPr>
        <w:pStyle w:val="Normal"/>
        <w:numPr>
          <w:ilvl w:val="2"/>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As empresas, que apresentarem resultado inferior ou igual a 1(um) em qualquer dos índices de Liquidez Geral (LG), Solvência Geral (SG) e Liquidez Corrente (LC), deverão comprovar capital ou patrimônio líquido mínimo de</w:t>
      </w:r>
      <w:r>
        <w:rPr>
          <w:rFonts w:cs="Times New Roman" w:ascii="Times New Roman" w:hAnsi="Times New Roman"/>
          <w:i/>
          <w:iCs/>
          <w:color w:val="000000" w:themeColor="text1"/>
          <w:szCs w:val="20"/>
        </w:rPr>
        <w:t xml:space="preserve">5% (cinco por cento) </w:t>
      </w:r>
      <w:r>
        <w:rPr>
          <w:rFonts w:cs="Times New Roman" w:ascii="Times New Roman" w:hAnsi="Times New Roman"/>
          <w:color w:val="000000" w:themeColor="text1"/>
          <w:szCs w:val="20"/>
        </w:rPr>
        <w:t xml:space="preserve">do </w:t>
      </w:r>
      <w:r>
        <w:rPr>
          <w:rFonts w:cs="Times New Roman" w:ascii="Times New Roman" w:hAnsi="Times New Roman"/>
          <w:color w:val="000000"/>
          <w:szCs w:val="20"/>
        </w:rPr>
        <w:t xml:space="preserve">valor total estimado da contratação ou do item pertinente. </w:t>
      </w:r>
    </w:p>
    <w:p>
      <w:pPr>
        <w:pStyle w:val="PADRO"/>
        <w:widowControl/>
        <w:spacing w:before="120" w:after="120"/>
        <w:ind w:left="2421" w:hanging="0"/>
        <w:rPr>
          <w:rFonts w:ascii="Times New Roman" w:hAnsi="Times New Roman" w:cs="Times New Roman"/>
        </w:rPr>
      </w:pPr>
      <w:r>
        <w:rPr/>
      </w:r>
    </w:p>
    <w:sectPr>
      <w:footerReference w:type="default" r:id="rId7"/>
      <w:type w:val="nextPage"/>
      <w:pgSz w:w="11906" w:h="16838"/>
      <w:pgMar w:left="1701" w:right="1701" w:gutter="0" w:header="0" w:top="1417" w:footer="708" w:bottom="1417"/>
      <w:pgNumType w:fmt="decimal"/>
      <w:formProt w:val="false"/>
      <w:textDirection w:val="lrTb"/>
      <w:docGrid w:type="default" w:linePitch="360" w:charSpace="983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pPr>
    <w:r>
      <w:rPr/>
      <w:t>Dispensa de Licitação – Dispensa Eletrônica nº 34/2023 – 4° BAvEx</w:t>
    </w:r>
  </w:p>
  <w:p>
    <w:pPr>
      <w:pStyle w:val="Rodap"/>
      <w:jc w:val="right"/>
      <w:rPr/>
    </w:pPr>
    <w:r>
      <w:rPr/>
      <w:t xml:space="preserve">Página  </w:t>
    </w:r>
    <w:r>
      <w:rPr/>
      <w:fldChar w:fldCharType="begin"/>
    </w:r>
    <w:r>
      <w:rPr/>
      <w:instrText xml:space="preserve"> PAGE </w:instrText>
    </w:r>
    <w:r>
      <w:rPr/>
      <w:fldChar w:fldCharType="separate"/>
    </w:r>
    <w:r>
      <w:rPr/>
      <w:t>8</w:t>
    </w:r>
    <w:r>
      <w:rPr/>
      <w:fldChar w:fldCharType="end"/>
    </w:r>
    <w:r>
      <w:rPr/>
      <w:t xml:space="preserve"> de 8</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792" w:hanging="432"/>
      </w:pPr>
      <w:rPr>
        <w:i w:val="false"/>
        <w:b/>
        <w:iCs/>
        <w:rFonts w:ascii="Arial" w:hAnsi="Arial" w:cs="Arial"/>
        <w:color w:val="00000A"/>
      </w:rPr>
    </w:lvl>
    <w:lvl w:ilvl="2">
      <w:start w:val="1"/>
      <w:numFmt w:val="decimal"/>
      <w:lvlText w:val="%1.%2.%3."/>
      <w:lvlJc w:val="left"/>
      <w:pPr>
        <w:tabs>
          <w:tab w:val="num" w:pos="0"/>
        </w:tabs>
        <w:ind w:left="1224" w:hanging="504"/>
      </w:pPr>
      <w:rPr>
        <w:i w:val="false"/>
        <w:b/>
        <w:iCs/>
        <w:rFonts w:cs="Arial"/>
        <w:color w:val="00000A"/>
      </w:rPr>
    </w:lvl>
    <w:lvl w:ilvl="3">
      <w:start w:val="1"/>
      <w:numFmt w:val="decimal"/>
      <w:lvlText w:val="%1.%2.%3.%4."/>
      <w:lvlJc w:val="left"/>
      <w:pPr>
        <w:tabs>
          <w:tab w:val="num" w:pos="0"/>
        </w:tabs>
        <w:ind w:left="1728" w:hanging="648"/>
      </w:pPr>
      <w:rPr>
        <w:i w:val="false"/>
        <w:b/>
        <w:iCs/>
        <w:rFonts w:cs="Arial"/>
        <w:color w:val="00000A"/>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b/>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420"/>
  <w:autoHyphenation w:val="true"/>
  <w:compat>
    <w:compatSetting w:name="compatibilityMode" w:uri="http://schemas.microsoft.com/office/word" w:val="12"/>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Smbolosdenumerao" w:customStyle="1">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aption">
    <w:name w:val="caption"/>
    <w:basedOn w:val="Normal"/>
    <w:qFormat/>
    <w:pPr>
      <w:suppressLineNumbers/>
      <w:spacing w:before="120" w:after="120"/>
    </w:pPr>
    <w:rPr>
      <w:rFonts w:cs="Lohit Devanagari"/>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420"/>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420"/>
        <w:tab w:val="center" w:pos="4252" w:leader="none"/>
        <w:tab w:val="right" w:pos="8504" w:leader="none"/>
      </w:tabs>
    </w:pPr>
    <w:rPr/>
  </w:style>
  <w:style w:type="paragraph" w:styleId="Rodap">
    <w:name w:val="Footer"/>
    <w:basedOn w:val="Normal"/>
    <w:link w:val="RodapChar"/>
    <w:uiPriority w:val="99"/>
    <w:unhideWhenUsed/>
    <w:rsid w:val="00805244"/>
    <w:pPr>
      <w:tabs>
        <w:tab w:val="clear" w:pos="420"/>
        <w:tab w:val="center" w:pos="4252" w:leader="none"/>
        <w:tab w:val="right" w:pos="8504" w:leader="none"/>
      </w:tabs>
    </w:pPr>
    <w:rPr/>
  </w:style>
  <w:style w:type="paragraph" w:styleId="Standard" w:customStyle="1">
    <w:name w:val="Standard"/>
    <w:qFormat/>
    <w:rsid w:val="00040e63"/>
    <w:pPr>
      <w:widowControl/>
      <w:suppressAutoHyphens w:val="true"/>
      <w:bidi w:val="0"/>
      <w:spacing w:before="0" w:after="0"/>
      <w:jc w:val="left"/>
      <w:textAlignment w:val="baseline"/>
    </w:pPr>
    <w:rPr>
      <w:rFonts w:ascii="Calibri" w:hAnsi="Calibri" w:eastAsia="Calibri" w:cs="DejaVu Sans" w:asciiTheme="minorHAnsi" w:eastAsiaTheme="minorHAnsi" w:hAnsiTheme="minorHAnsi"/>
      <w:color w:val="00000A"/>
      <w:kern w:val="0"/>
      <w:sz w:val="20"/>
      <w:szCs w:val="22"/>
      <w:lang w:val="pt-BR" w:eastAsia="en-US" w:bidi="ar-SA"/>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Application>LibreOffice/7.3.7.2$Linux_X86_64 LibreOffice_project/30$Build-2</Application>
  <AppVersion>15.0000</AppVersion>
  <Pages>10</Pages>
  <Words>4978</Words>
  <Characters>28752</Characters>
  <CharactersWithSpaces>33423</CharactersWithSpaces>
  <Paragraphs>229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2022-07-07T09:38:00Z</cp:lastPrinted>
  <dcterms:modified xsi:type="dcterms:W3CDTF">2023-06-06T14:43:31Z</dcterms:modified>
  <cp:revision>180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